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D27" w:rsidRDefault="00752D27">
      <w:pPr>
        <w:pStyle w:val="TOC1"/>
        <w:tabs>
          <w:tab w:val="right" w:leader="dot" w:pos="12996"/>
        </w:tabs>
        <w:rPr>
          <w:b/>
        </w:rPr>
      </w:pPr>
    </w:p>
    <w:p w:rsidR="00752D27" w:rsidRPr="00752D27" w:rsidRDefault="00752D27" w:rsidP="00752D27">
      <w:r>
        <w:t>SADRŽAJ:</w:t>
      </w:r>
    </w:p>
    <w:p w:rsidR="00752D27" w:rsidRDefault="00752D27">
      <w:pPr>
        <w:pStyle w:val="TOC1"/>
        <w:tabs>
          <w:tab w:val="right" w:leader="dot" w:pos="12996"/>
        </w:tabs>
        <w:rPr>
          <w:rFonts w:eastAsiaTheme="minorEastAsia"/>
          <w:noProof/>
          <w:lang w:eastAsia="hr-HR"/>
        </w:rPr>
      </w:pPr>
      <w:r>
        <w:rPr>
          <w:b/>
        </w:rPr>
        <w:fldChar w:fldCharType="begin"/>
      </w:r>
      <w:r>
        <w:rPr>
          <w:b/>
        </w:rPr>
        <w:instrText xml:space="preserve"> TOC \o "1-2" \h \z </w:instrText>
      </w:r>
      <w:r>
        <w:rPr>
          <w:b/>
        </w:rPr>
        <w:fldChar w:fldCharType="separate"/>
      </w:r>
      <w:hyperlink w:anchor="_Toc385207267" w:history="1">
        <w:r w:rsidRPr="00A1643D">
          <w:rPr>
            <w:rStyle w:val="Hyperlink"/>
            <w:noProof/>
          </w:rPr>
          <w:t>Ciljevi ugrađeni u programski ugovor MZOS i TVZ: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_Toc385207267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52D27" w:rsidRDefault="00F6053E">
      <w:pPr>
        <w:pStyle w:val="TOC1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68" w:history="1">
        <w:r w:rsidR="00752D27" w:rsidRPr="00A1643D">
          <w:rPr>
            <w:rStyle w:val="Hyperlink"/>
            <w:rFonts w:ascii="Times New Roman" w:hAnsi="Times New Roman" w:cs="Times New Roman"/>
            <w:noProof/>
          </w:rPr>
          <w:t xml:space="preserve">Područja i ciljevi dugoročne </w:t>
        </w:r>
        <w:r w:rsidR="00752D27" w:rsidRPr="00A1643D">
          <w:rPr>
            <w:rStyle w:val="Hyperlink"/>
            <w:noProof/>
          </w:rPr>
          <w:t>razvojne strategije Tehničkog veleučilište u Zagrebu 2014-2025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_Toc385207268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4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69" w:history="1">
        <w:r w:rsidR="00752D27" w:rsidRPr="00A1643D">
          <w:rPr>
            <w:rStyle w:val="Hyperlink"/>
            <w:noProof/>
          </w:rPr>
          <w:t>Opći ciljevi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_Toc385207269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4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70" w:history="1">
        <w:r w:rsidR="00752D27" w:rsidRPr="00A1643D">
          <w:rPr>
            <w:rStyle w:val="Hyperlink"/>
            <w:noProof/>
          </w:rPr>
          <w:t>Kratkoročni ciljevi  (2014-2018)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_Toc385207270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7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71" w:history="1">
        <w:r w:rsidR="00752D27" w:rsidRPr="00A1643D">
          <w:rPr>
            <w:rStyle w:val="Hyperlink"/>
            <w:noProof/>
          </w:rPr>
          <w:t>Obrazovanje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_Toc385207271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7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72" w:history="1">
        <w:r w:rsidR="00752D27" w:rsidRPr="00A1643D">
          <w:rPr>
            <w:rStyle w:val="Hyperlink"/>
            <w:noProof/>
          </w:rPr>
          <w:t>Istraživanje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_Toc385207272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9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73" w:history="1">
        <w:r w:rsidR="00752D27" w:rsidRPr="00A1643D">
          <w:rPr>
            <w:rStyle w:val="Hyperlink"/>
            <w:noProof/>
          </w:rPr>
          <w:t>Organizacija i upravljanje, razvoj infrastrukture i sustav osiguranja kvalitete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_Toc385207273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12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74" w:history="1">
        <w:r w:rsidR="00752D27" w:rsidRPr="00A1643D">
          <w:rPr>
            <w:rStyle w:val="Hyperlink"/>
            <w:noProof/>
          </w:rPr>
          <w:t>Unapređenje poslovanje TVZ-a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_Toc385207274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13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75" w:history="1">
        <w:r w:rsidR="00752D27" w:rsidRPr="00A1643D">
          <w:rPr>
            <w:rStyle w:val="Hyperlink"/>
            <w:noProof/>
          </w:rPr>
          <w:t>Poboljšanje infrastrukture TVZ-a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_Toc385207275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13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76" w:history="1">
        <w:r w:rsidR="00752D27" w:rsidRPr="00A1643D">
          <w:rPr>
            <w:rStyle w:val="Hyperlink"/>
            <w:noProof/>
          </w:rPr>
          <w:t>Uspostava sustava za jamstvo kvalitete u svim segmentima TVZ-a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_Toc385207276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14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1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77" w:history="1">
        <w:r w:rsidR="00752D27" w:rsidRPr="00A1643D">
          <w:rPr>
            <w:rStyle w:val="Hyperlink"/>
            <w:noProof/>
          </w:rPr>
          <w:t>Projekcija ciljeva i pokazatelja međunarodne suradnje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_Toc385207277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15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78" w:history="1">
        <w:r w:rsidR="00752D27" w:rsidRPr="00A1643D">
          <w:rPr>
            <w:rStyle w:val="Hyperlink"/>
            <w:noProof/>
          </w:rPr>
          <w:t>Mobilnost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_Toc385207278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15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79" w:history="1">
        <w:r w:rsidR="00752D27" w:rsidRPr="00A1643D">
          <w:rPr>
            <w:rStyle w:val="Hyperlink"/>
            <w:noProof/>
          </w:rPr>
          <w:t>Program za cjeloživotno učenje (Lifelong Learning Programme)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_Toc385207279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17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80" w:history="1">
        <w:r w:rsidR="00752D27" w:rsidRPr="00A1643D">
          <w:rPr>
            <w:rStyle w:val="Hyperlink"/>
            <w:noProof/>
          </w:rPr>
          <w:t>Bilateralna obrazovna i znanstveno-istraživačka suradnja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_Toc385207280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17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81" w:history="1">
        <w:r w:rsidR="00752D27" w:rsidRPr="00A1643D">
          <w:rPr>
            <w:rStyle w:val="Hyperlink"/>
            <w:noProof/>
          </w:rPr>
          <w:t>Multilateralna suradnja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_Toc385207281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18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82" w:history="1">
        <w:r w:rsidR="00752D27" w:rsidRPr="00A1643D">
          <w:rPr>
            <w:rStyle w:val="Hyperlink"/>
            <w:noProof/>
          </w:rPr>
          <w:t>EURASHE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_Toc385207282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18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83" w:history="1">
        <w:r w:rsidR="00752D27" w:rsidRPr="00A1643D">
          <w:rPr>
            <w:rStyle w:val="Hyperlink"/>
            <w:noProof/>
          </w:rPr>
          <w:t>Rektorska konferencija Alpe-Jadran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_Toc385207283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18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84" w:history="1">
        <w:r w:rsidR="00752D27" w:rsidRPr="00A1643D">
          <w:rPr>
            <w:rStyle w:val="Hyperlink"/>
            <w:noProof/>
          </w:rPr>
          <w:t>Međunarodna suradnja sa financijskim institucijama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_Toc385207284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18</w:t>
        </w:r>
        <w:r w:rsidR="00752D27">
          <w:rPr>
            <w:noProof/>
            <w:webHidden/>
          </w:rPr>
          <w:fldChar w:fldCharType="end"/>
        </w:r>
      </w:hyperlink>
    </w:p>
    <w:p w:rsidR="00752D27" w:rsidRDefault="00F6053E">
      <w:pPr>
        <w:pStyle w:val="TOC2"/>
        <w:tabs>
          <w:tab w:val="right" w:leader="dot" w:pos="12996"/>
        </w:tabs>
        <w:rPr>
          <w:rFonts w:eastAsiaTheme="minorEastAsia"/>
          <w:noProof/>
          <w:lang w:eastAsia="hr-HR"/>
        </w:rPr>
      </w:pPr>
      <w:hyperlink w:anchor="_Toc385207285" w:history="1">
        <w:r w:rsidR="00752D27" w:rsidRPr="00A1643D">
          <w:rPr>
            <w:rStyle w:val="Hyperlink"/>
            <w:noProof/>
          </w:rPr>
          <w:t>Izvođenje nastave na engleskom jeziku</w:t>
        </w:r>
        <w:r w:rsidR="00752D27">
          <w:rPr>
            <w:noProof/>
            <w:webHidden/>
          </w:rPr>
          <w:tab/>
        </w:r>
        <w:r w:rsidR="00752D27">
          <w:rPr>
            <w:noProof/>
            <w:webHidden/>
          </w:rPr>
          <w:fldChar w:fldCharType="begin"/>
        </w:r>
        <w:r w:rsidR="00752D27">
          <w:rPr>
            <w:noProof/>
            <w:webHidden/>
          </w:rPr>
          <w:instrText xml:space="preserve"> PAGEREF _Toc385207285 \h </w:instrText>
        </w:r>
        <w:r w:rsidR="00752D27">
          <w:rPr>
            <w:noProof/>
            <w:webHidden/>
          </w:rPr>
        </w:r>
        <w:r w:rsidR="00752D27">
          <w:rPr>
            <w:noProof/>
            <w:webHidden/>
          </w:rPr>
          <w:fldChar w:fldCharType="separate"/>
        </w:r>
        <w:r w:rsidR="00752D27">
          <w:rPr>
            <w:noProof/>
            <w:webHidden/>
          </w:rPr>
          <w:t>18</w:t>
        </w:r>
        <w:r w:rsidR="00752D27">
          <w:rPr>
            <w:noProof/>
            <w:webHidden/>
          </w:rPr>
          <w:fldChar w:fldCharType="end"/>
        </w:r>
      </w:hyperlink>
    </w:p>
    <w:p w:rsidR="00323BC0" w:rsidRDefault="00752D27" w:rsidP="00AF1891">
      <w:pPr>
        <w:pStyle w:val="Heading1"/>
      </w:pP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fldChar w:fldCharType="end"/>
      </w:r>
    </w:p>
    <w:p w:rsidR="00323BC0" w:rsidRDefault="00323BC0" w:rsidP="00AF1891">
      <w:pPr>
        <w:pStyle w:val="Heading1"/>
        <w:sectPr w:rsidR="00323BC0" w:rsidSect="00EE125E">
          <w:headerReference w:type="default" r:id="rId7"/>
          <w:footerReference w:type="default" r:id="rId8"/>
          <w:pgSz w:w="15840" w:h="12240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31793" w:rsidRPr="0094358B" w:rsidRDefault="0094358B" w:rsidP="00AF1891">
      <w:pPr>
        <w:pStyle w:val="Heading1"/>
        <w:rPr>
          <w:rFonts w:ascii="Times New Roman" w:hAnsi="Times New Roman" w:cs="Times New Roman"/>
        </w:rPr>
      </w:pPr>
      <w:bookmarkStart w:id="0" w:name="_Toc385207267"/>
      <w:r w:rsidRPr="0094358B">
        <w:t>Ciljevi ugrađeni u programski ugovor MZOS i TVZ:</w:t>
      </w:r>
      <w:bookmarkEnd w:id="0"/>
    </w:p>
    <w:tbl>
      <w:tblPr>
        <w:tblStyle w:val="TableGridLight"/>
        <w:tblW w:w="8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4"/>
      </w:tblGrid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 Dignitet TVZ-a, studija i struka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1.1.         Ugled TVZ-a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1.2.         Vrijednost d</w:t>
            </w:r>
            <w:r>
              <w:rPr>
                <w:sz w:val="20"/>
                <w:szCs w:val="20"/>
                <w:lang w:val="en-US"/>
              </w:rPr>
              <w:t>iploma / svjedodžbi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1.3.         Doktorat struke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1.4.         Zaštita struka (rad u komorama, formiranje komora i strukovnih udruga)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1.5.         Studentska prava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Edukacijske paradigme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2.1.         e- studij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2.2.         Cjeloživotna edukacija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2.3.         Izvanredni studiji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2.4.         Politehnički studij, interdisciplinarni, transdisciplinarni studiji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 Prostor - kampus TVZ-a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3.1.         Povećanje i opremanje vlastitih nastavnih prostora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         Komunikacijsko povezivanje distribuiranih nastavnih prostora 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3.3.         Jedinstveni kampus TVZ-a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 Organizacija TVZ-a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4.1.         Informatizacija poslovni procesa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4.2.         Informiranje javnosti (PR)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4.3.         Ljudski resursi (HR)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4.3.1.      Edukacije nastavnika, konferencije, stručni i znanstveni projekti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5. Vanjska suradnja 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5.1.         s gospodarstvom, 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5.2.         državnim institucijama, 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5.3.         institucijama EU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5.4.         Mobilnost (Erasmus, IASTE)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 Studijski programi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6.1.         Pokretanje novih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6.2.         Revizija starih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6.3.         Izdavačka djelatnost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6.4.         Mentorska nastava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6.5.         Popraviti omjer studenata / nastavniku / m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 Studentski standard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7.1.         Knjižnica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7.2.         Restoran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7.3.         Klub Studentskog zbora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7.4.         Savjetovalište za studente (Vodič za studij)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 Upisne kvote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8.1.         Realnost kvota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8.2.         Revizija Pravilnika o studiranju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 Sustav kvalitete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9.1.         Ishodi učenja (studiranja)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9.2.         Priručnik o kvaliteti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9.3.         Ankete, povratne informacije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 Financiranje djelatnosti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10.1.       Ministarstvo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10.2.       Cjeloživotno obrazovanje (Tečajevi)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10.3.       Projekti</w:t>
            </w:r>
          </w:p>
        </w:tc>
      </w:tr>
      <w:tr w:rsidR="0094358B" w:rsidTr="0094358B">
        <w:tc>
          <w:tcPr>
            <w:tcW w:w="7621" w:type="dxa"/>
            <w:hideMark/>
          </w:tcPr>
          <w:p w:rsidR="0094358B" w:rsidRDefault="009435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10.4.       Udio tržišnog prihoda povećati</w:t>
            </w:r>
          </w:p>
        </w:tc>
      </w:tr>
    </w:tbl>
    <w:p w:rsidR="00D6124A" w:rsidRDefault="00D6124A">
      <w:pPr>
        <w:rPr>
          <w:rFonts w:ascii="Times New Roman" w:hAnsi="Times New Roman" w:cs="Times New Roman"/>
        </w:rPr>
      </w:pPr>
    </w:p>
    <w:p w:rsidR="0094358B" w:rsidRDefault="0094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6124A" w:rsidRPr="00EE125E" w:rsidRDefault="00323BC0" w:rsidP="00323BC0">
      <w:pPr>
        <w:pStyle w:val="Heading1"/>
        <w:rPr>
          <w:rFonts w:ascii="Times New Roman" w:hAnsi="Times New Roman" w:cs="Times New Roman"/>
        </w:rPr>
      </w:pPr>
      <w:bookmarkStart w:id="1" w:name="_Toc385207268"/>
      <w:r w:rsidRPr="00EE125E">
        <w:rPr>
          <w:rFonts w:ascii="Times New Roman" w:hAnsi="Times New Roman" w:cs="Times New Roman"/>
        </w:rPr>
        <w:t>Područja i ciljevi</w:t>
      </w:r>
      <w:r w:rsidRPr="0094358B">
        <w:rPr>
          <w:rFonts w:ascii="Times New Roman" w:hAnsi="Times New Roman" w:cs="Times New Roman"/>
        </w:rPr>
        <w:t xml:space="preserve"> dugoročne </w:t>
      </w:r>
      <w:r w:rsidRPr="0094358B">
        <w:t>razvojne strategije Tehničkog veleučilište u Zagrebu 2014-2025</w:t>
      </w:r>
      <w:bookmarkEnd w:id="1"/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02"/>
        <w:gridCol w:w="3718"/>
        <w:gridCol w:w="1418"/>
        <w:gridCol w:w="3503"/>
      </w:tblGrid>
      <w:tr w:rsidR="0094358B" w:rsidRPr="00EE125E" w:rsidTr="00323BC0">
        <w:trPr>
          <w:trHeight w:val="300"/>
          <w:tblHeader/>
        </w:trPr>
        <w:tc>
          <w:tcPr>
            <w:tcW w:w="12996" w:type="dxa"/>
            <w:gridSpan w:val="5"/>
            <w:shd w:val="clear" w:color="auto" w:fill="F2F2F2" w:themeFill="background1" w:themeFillShade="F2"/>
            <w:noWrap/>
            <w:hideMark/>
          </w:tcPr>
          <w:p w:rsidR="0094358B" w:rsidRPr="00EE125E" w:rsidRDefault="0094358B" w:rsidP="0094358B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125E">
              <w:rPr>
                <w:rFonts w:ascii="Times New Roman" w:eastAsia="Times New Roman" w:hAnsi="Times New Roman" w:cs="Times New Roman"/>
                <w:b/>
                <w:lang w:eastAsia="hr-HR"/>
              </w:rPr>
              <w:t>Područja i ciljevi</w:t>
            </w:r>
            <w:r w:rsidRPr="0094358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dugoročne </w:t>
            </w:r>
            <w:r w:rsidRPr="0094358B">
              <w:rPr>
                <w:b/>
              </w:rPr>
              <w:t>razvojne strategije Tehničkog veleučilište u Zagrebu 2014-2025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shd w:val="clear" w:color="auto" w:fill="auto"/>
            <w:noWrap/>
            <w:hideMark/>
          </w:tcPr>
          <w:p w:rsidR="00EE125E" w:rsidRPr="00E31793" w:rsidRDefault="00EE125E" w:rsidP="00323BC0">
            <w:pPr>
              <w:pStyle w:val="Heading2"/>
              <w:outlineLvl w:val="1"/>
            </w:pPr>
            <w:bookmarkStart w:id="2" w:name="_Toc385175662"/>
            <w:bookmarkStart w:id="3" w:name="RANGE!A8"/>
            <w:bookmarkStart w:id="4" w:name="_Toc385207269"/>
            <w:r w:rsidRPr="00E31793">
              <w:t>Opći ciljevi</w:t>
            </w:r>
            <w:bookmarkEnd w:id="2"/>
            <w:bookmarkEnd w:id="3"/>
            <w:bookmarkEnd w:id="4"/>
          </w:p>
        </w:tc>
        <w:tc>
          <w:tcPr>
            <w:tcW w:w="2802" w:type="dxa"/>
            <w:shd w:val="clear" w:color="auto" w:fill="auto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auto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auto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323BC0" w:rsidRDefault="00EE125E" w:rsidP="00323BC0">
            <w:pPr>
              <w:pStyle w:val="Heading3"/>
              <w:outlineLvl w:val="2"/>
            </w:pPr>
            <w:bookmarkStart w:id="5" w:name="_Toc385175663"/>
            <w:bookmarkStart w:id="6" w:name="RANGE!B9"/>
            <w:r w:rsidRPr="00323BC0">
              <w:t>Postati priznata interdisciplinarna institucija s nacionalnim i globalnim utjecajem</w:t>
            </w:r>
            <w:bookmarkEnd w:id="5"/>
            <w:bookmarkEnd w:id="6"/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Stvaranje novih mogućnosti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Istraživački rad na razini izvrsnosti koja čini razliku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Nastava koja nadahnjuje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Uključivanje svijeta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Partnerstva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Ulaganje u budućnost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bookmarkStart w:id="7" w:name="_Toc385175664"/>
            <w:bookmarkStart w:id="8" w:name="RANGE!B16"/>
            <w:r w:rsidRPr="00EE125E">
              <w:t>Primijenjena znanost i istraživanje</w:t>
            </w:r>
            <w:bookmarkEnd w:id="7"/>
            <w:bookmarkEnd w:id="8"/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323BC0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Nadogradnja na naš postojeći istraživački uspjeh kako bi izašli u susret globalnim izazovima 21. stoljeća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323BC0">
            <w:pPr>
              <w:rPr>
                <w:lang w:eastAsia="hr-HR"/>
              </w:rPr>
            </w:pPr>
            <w:r w:rsidRPr="00EE125E">
              <w:rPr>
                <w:rFonts w:eastAsia="Cambria"/>
                <w:lang w:eastAsia="hr-HR"/>
              </w:rPr>
              <w:t>Poboljšanje kvalitete i utjecaja našeg primijenjenog istraživanja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323BC0">
            <w:pPr>
              <w:rPr>
                <w:lang w:eastAsia="hr-HR"/>
              </w:rPr>
            </w:pPr>
            <w:r w:rsidRPr="00EE125E">
              <w:rPr>
                <w:rFonts w:eastAsia="Cambria"/>
                <w:lang w:eastAsia="hr-HR"/>
              </w:rPr>
              <w:t>Učinkovito širenje rezultata naših primijenjenih istraživanja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323BC0">
            <w:pPr>
              <w:rPr>
                <w:lang w:eastAsia="hr-HR"/>
              </w:rPr>
            </w:pPr>
            <w:r w:rsidRPr="00EE125E">
              <w:rPr>
                <w:rFonts w:eastAsia="Cambria"/>
                <w:lang w:eastAsia="hr-HR"/>
              </w:rPr>
              <w:t>Uključivanje u inovativne, transdisciplinarne i interdisciplinarne istraživačke aktivnosti u skladu s nacionalnim i dnevnim redom EU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323BC0">
            <w:pPr>
              <w:rPr>
                <w:lang w:eastAsia="hr-HR"/>
              </w:rPr>
            </w:pPr>
            <w:r w:rsidRPr="00EE125E">
              <w:rPr>
                <w:rFonts w:eastAsia="Cambria"/>
                <w:lang w:eastAsia="hr-HR"/>
              </w:rPr>
              <w:t>Značajno povećanje prihoda primijenjenih istraživanja i diversifikacija poreza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323BC0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Jačanje kulture primijenjenih istraživanja za studente poslijediplomskih studija i mladih znanstvenika, kao i izgradnja kritične mase gdje je relevantno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Default="00EE125E" w:rsidP="00323BC0">
            <w:pPr>
              <w:pStyle w:val="Heading3"/>
              <w:outlineLvl w:val="2"/>
            </w:pPr>
            <w:bookmarkStart w:id="9" w:name="_Toc385175665"/>
            <w:bookmarkStart w:id="10" w:name="RANGE!B23"/>
          </w:p>
          <w:p w:rsidR="00EE125E" w:rsidRDefault="00EE125E" w:rsidP="00323BC0">
            <w:pPr>
              <w:pStyle w:val="Heading3"/>
              <w:outlineLvl w:val="2"/>
            </w:pPr>
          </w:p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Prijenos znanja na nastavni plan i obrazovanja</w:t>
            </w:r>
            <w:bookmarkEnd w:id="9"/>
            <w:bookmarkEnd w:id="10"/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Općenito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prijenos znanja u obrazovanje u primijenjenim znanostima, izravno vezano za nastavni plan i program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aktivnosti u savjetovanju i javnom i realnom sektoru i dizajnu i obrnuto te na taj način činiti praktično znanje relevantnim za obrazovanje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provođenje istraživanja usmjerenih na praksu te ulazak u akademsko rasuđivanje i postojanost praktično orijentiranih znanja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provođenje primijenjenih / konceptualnih istraživanja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Osiguranje koristi koja donosi obrazovanje temeljeno na istraživanju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Osigurati da naši studenti mogu sudjelovati istraživačkom radu s vodećim akademskim osobljem dotičnog područja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Dati studentima priliku i ohrabriti ih da sudjeluju u vrhunskim istraživačkim projektima koji se bave globalnim izazovima 21. stoljeća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Poticanje široke akademske kulture intelektualnog istraživanja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Pružanje studentima mogućnosti da izvuku korist iz aktivnosti  relevantnih za rad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36686" w:rsidRDefault="00E36686" w:rsidP="00323BC0">
            <w:pPr>
              <w:pStyle w:val="Heading3"/>
              <w:outlineLvl w:val="2"/>
            </w:pPr>
            <w:bookmarkStart w:id="11" w:name="_Toc385175666"/>
            <w:bookmarkStart w:id="12" w:name="RANGE!B34"/>
          </w:p>
          <w:p w:rsidR="00E36686" w:rsidRDefault="00E36686" w:rsidP="00323BC0">
            <w:pPr>
              <w:pStyle w:val="Heading3"/>
              <w:outlineLvl w:val="2"/>
            </w:pPr>
          </w:p>
          <w:p w:rsidR="00E36686" w:rsidRDefault="00E36686" w:rsidP="00323BC0">
            <w:pPr>
              <w:pStyle w:val="Heading3"/>
              <w:outlineLvl w:val="2"/>
            </w:pPr>
          </w:p>
          <w:p w:rsidR="00E36686" w:rsidRDefault="00E36686" w:rsidP="00323BC0">
            <w:pPr>
              <w:pStyle w:val="Heading3"/>
              <w:outlineLvl w:val="2"/>
            </w:pPr>
          </w:p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Obrazovanje</w:t>
            </w:r>
            <w:bookmarkEnd w:id="11"/>
            <w:bookmarkEnd w:id="12"/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Poboljšanje kvalitete učenja za sve naše studente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Jačanje kulture kontinuiranog poboljšanja unutar kvalitetnog okvira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Pružanje inovativne i prepoznatljive kombinacije predmeta, atraktivnih studentima s visokim ciljevima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Osigurati da su naša primijenjena istraživanja i nastavni rad usklađeni kako bi omogućili isporuku visokokvalitetnih edukacijskih aktivnosti za sve naše studente, uključujući i jačanje okruženja za poslijediplomsku obuke i post-doktorske aktivnosti na našim partnerskim akademskim institucijama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Poticanje i podupiranje korištenja tehnologije u učenju kako bi se poboljšale mogućnosti za učenje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Učinkovitije natjecanje</w:t>
            </w:r>
          </w:p>
        </w:tc>
        <w:tc>
          <w:tcPr>
            <w:tcW w:w="14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Osigurati veličinu i oblik TVZ-a  koji će odgovarati budućem razvoju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Postati institucija u kojoj izvrsnost i socijalna pokretljivosti rade zajedno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Ponuda karakterističnog portfelja dodiplomskih i specijalistički programa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Potpuno iskorištavanje novih i dolazećih tržišta za regrutiranje međunarodnih studenata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bookmarkStart w:id="13" w:name="_Toc385175667"/>
            <w:bookmarkStart w:id="14" w:name="RANGE!B45"/>
            <w:r w:rsidRPr="00EE125E">
              <w:t>Organizacija u tranziciji</w:t>
            </w:r>
            <w:bookmarkEnd w:id="13"/>
            <w:bookmarkEnd w:id="14"/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rFonts w:eastAsia="Times New Roman"/>
                <w:lang w:eastAsia="hr-HR"/>
              </w:rPr>
            </w:pPr>
            <w:r w:rsidRPr="00EE125E">
              <w:rPr>
                <w:lang w:eastAsia="hr-HR"/>
              </w:rPr>
              <w:t>Kultura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rFonts w:eastAsia="Times New Roman"/>
                <w:lang w:eastAsia="hr-HR"/>
              </w:rPr>
            </w:pPr>
            <w:r w:rsidRPr="00EE125E">
              <w:rPr>
                <w:lang w:eastAsia="hr-HR"/>
              </w:rPr>
              <w:t>Upravljanje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rFonts w:eastAsia="Times New Roman"/>
                <w:lang w:eastAsia="hr-HR"/>
              </w:rPr>
            </w:pPr>
            <w:r w:rsidRPr="00EE125E">
              <w:rPr>
                <w:lang w:eastAsia="hr-HR"/>
              </w:rPr>
              <w:t>Optimiziranje procesa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136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rFonts w:eastAsia="Times New Roman"/>
                <w:lang w:eastAsia="hr-HR"/>
              </w:rPr>
            </w:pPr>
            <w:r w:rsidRPr="00EE125E">
              <w:rPr>
                <w:lang w:eastAsia="hr-HR"/>
              </w:rPr>
              <w:t>Implementacije orijentirana na budućnost</w:t>
            </w: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rFonts w:eastAsia="Times New Roman"/>
                <w:lang w:eastAsia="hr-HR"/>
              </w:rPr>
            </w:pPr>
            <w:r w:rsidRPr="00EE125E">
              <w:rPr>
                <w:lang w:eastAsia="hr-HR"/>
              </w:rPr>
              <w:t>Održivo stanovanje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rFonts w:eastAsia="Times New Roman"/>
                <w:lang w:eastAsia="hr-HR"/>
              </w:rPr>
            </w:pPr>
            <w:r w:rsidRPr="00EE125E">
              <w:rPr>
                <w:lang w:eastAsia="hr-HR"/>
              </w:rPr>
              <w:t>Mogućnosti i upravljanje rizicima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rFonts w:eastAsia="Times New Roman"/>
                <w:lang w:eastAsia="hr-HR"/>
              </w:rPr>
            </w:pPr>
            <w:r w:rsidRPr="00EE125E">
              <w:rPr>
                <w:rFonts w:eastAsia="Times New Roman"/>
                <w:lang w:eastAsia="hr-HR"/>
              </w:rPr>
              <w:t>Mogućnost zapošljavanja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bookmarkStart w:id="15" w:name="_Toc385175668"/>
            <w:bookmarkStart w:id="16" w:name="RANGE!B53"/>
            <w:r w:rsidRPr="00EE125E">
              <w:t>Zapošljivost</w:t>
            </w:r>
            <w:bookmarkEnd w:id="15"/>
            <w:bookmarkEnd w:id="16"/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usađivanje diplomskih atributa i mogućnost zapošljavanja u svim našim nastavnim planovima i programima te opremanje studenata za natjecanje na svjetskom tržištu;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proizvodnja diplomanata socijalno i ekonomski vrijednih osobina i znanja;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31793">
            <w:pPr>
              <w:ind w:left="313"/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povećanje studentskog zadovoljstva s mogućnostima i podrškom za razvoj diplomskih atributa i mogućnosti zapošljavanja;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opremanje naših diplomanata sa stručnošću i diplomskim atributima potrebnim za postizanje svog punog potencijala unutar globalne zajednice;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stvaranje strateških partnerstva između akademske zajednice, industrije, stručnjaka i drugih instituci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751AF" w:rsidRPr="00EE125E" w:rsidTr="00323BC0">
        <w:trPr>
          <w:trHeight w:val="300"/>
        </w:trPr>
        <w:tc>
          <w:tcPr>
            <w:tcW w:w="4357" w:type="dxa"/>
            <w:gridSpan w:val="2"/>
            <w:noWrap/>
            <w:hideMark/>
          </w:tcPr>
          <w:p w:rsidR="007751AF" w:rsidRPr="00EE125E" w:rsidRDefault="007751AF" w:rsidP="00323BC0">
            <w:pPr>
              <w:pStyle w:val="Heading2"/>
              <w:outlineLvl w:val="1"/>
            </w:pPr>
            <w:bookmarkStart w:id="17" w:name="_Toc385175692"/>
            <w:bookmarkStart w:id="18" w:name="RANGE!A60"/>
            <w:bookmarkStart w:id="19" w:name="_Toc385207270"/>
            <w:r w:rsidRPr="00EE125E">
              <w:t>Kratkoročni ciljevi  (2014-2018)</w:t>
            </w:r>
            <w:bookmarkEnd w:id="17"/>
            <w:bookmarkEnd w:id="18"/>
            <w:bookmarkEnd w:id="19"/>
          </w:p>
        </w:tc>
        <w:tc>
          <w:tcPr>
            <w:tcW w:w="3718" w:type="dxa"/>
            <w:noWrap/>
            <w:hideMark/>
          </w:tcPr>
          <w:p w:rsidR="007751AF" w:rsidRPr="00EE125E" w:rsidRDefault="007751AF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7751AF" w:rsidRPr="00EE125E" w:rsidRDefault="007751AF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7751AF" w:rsidRPr="00EE125E" w:rsidRDefault="007751AF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31793" w:rsidRDefault="00EE125E" w:rsidP="00E31793">
            <w:pPr>
              <w:pStyle w:val="Heading2"/>
              <w:outlineLvl w:val="1"/>
            </w:pPr>
            <w:bookmarkStart w:id="20" w:name="_Toc385175693"/>
            <w:bookmarkStart w:id="21" w:name="RANGE!A61"/>
            <w:bookmarkStart w:id="22" w:name="_Toc385207271"/>
            <w:r w:rsidRPr="00EE125E">
              <w:t>Obrazovanje</w:t>
            </w:r>
            <w:bookmarkEnd w:id="20"/>
            <w:bookmarkEnd w:id="21"/>
            <w:bookmarkEnd w:id="22"/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7751AF" w:rsidP="00323BC0">
            <w:pPr>
              <w:pStyle w:val="Heading3"/>
              <w:outlineLvl w:val="2"/>
            </w:pPr>
            <w:r>
              <w:t>Obrazovanje - opći ciljevi</w:t>
            </w: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osiguranje visoke kvalitete dodiplomskih i specijalistički diplomskih studija koji su orijentirani na budućnost;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ind w:firstLineChars="200" w:firstLine="440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promicanje međunarodnog priznanja primijenjenih studija na TVZ-u i povećanje mobilnosti studenata i nastavnog osoblja;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ind w:firstLineChars="200" w:firstLine="440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daljnje poboljšanje studentskog statusa u skladu s europskim standardima studiranja;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ind w:firstLineChars="200" w:firstLine="440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 xml:space="preserve">širenje cjeloživotnog učenja i prijenosa znanja između TVZ i gospodarstva. 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ind w:firstLineChars="200" w:firstLine="440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bookmarkStart w:id="23" w:name="_Toc385175694"/>
            <w:bookmarkStart w:id="24" w:name="RANGE!B66"/>
            <w:r w:rsidRPr="00EE125E">
              <w:t>Tržišni pokretači kvalifikacijskih zahtjeva</w:t>
            </w:r>
            <w:bookmarkEnd w:id="23"/>
            <w:bookmarkEnd w:id="24"/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Primjena standarda i modela u razvoju kompetencija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bookmarkStart w:id="25" w:name="_Toc385175696"/>
            <w:bookmarkStart w:id="26" w:name="RANGE!C68"/>
            <w:r w:rsidRPr="00EE125E">
              <w:rPr>
                <w:lang w:eastAsia="hr-HR"/>
              </w:rPr>
              <w:t>Kontinuitet razvoja i unapređenja nastavnog plana i programa</w:t>
            </w:r>
            <w:bookmarkEnd w:id="25"/>
            <w:bookmarkEnd w:id="26"/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7751AF" w:rsidP="00323BC0">
            <w:pPr>
              <w:pStyle w:val="Heading3"/>
              <w:outlineLvl w:val="2"/>
            </w:pPr>
            <w:r>
              <w:t>Obrazovanje – pojedinačni ciljevi</w:t>
            </w: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7751AF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Osiguranje visoke kvalitete doddiplomski i specijalistički diplomski studija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Poticanje stjecanje dugoročnog znanja i razvoja primijenjenih studijskih programa, s obzirom na buduće potrebe tržišta rada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Osiguranje kontinuiteta u procesu diplomiranja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Osiguranje dostojanstva nastavnicima i studentima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Uključivanje studentske prakse u nastavni plan i program i mogućnost rada na diplomskim radovima u suradnji s industrijom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Primjena novih tehnologija e-učenja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Sustavni pristup kako bi se utvrdile upisne kvote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Balansiranje opterećenja profesora i asistenata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Intenzivnija promocija TVZ kako bi privukli najbolje učenike srednjih škola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7751AF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Unapređenje međunarodnog priznanja studija tvz-a i povećanje mobilnosti studenata i profesora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Povećanje međunarodne razmjene studenata i nastavnika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Privlačenje stranih studenta na studij na TVZ-u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Početak razvoja nastavnih planova i programa koji su u potpunosti na engleskom jeziku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Daljnje poboljšanje studenskog statusa u skladu s europskim studijskim standardima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Nastavak partnerstva sa studentima na temelju uzajamnog poštovanja, demokratskog odnosa i dvosmjerne komunikacije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Osiguranje materijala, informacija i drugih sredstava za sve studente TVZ-a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Podržavanje stručnih, kulturnih i sportskih aktivnosti studenata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Kontinuirano poboljšanje kvalitete studija temelji se na sustavu za osiguranje kvalitete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Stimulacija i nagrađivanje izvrsnih studenata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Omogućen završetak studija unutar istraživačkog projekta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Pružanje dodatnih znanja i vještina za posebno nadarene učenike i usmjeravanje istih prema specijalističkim studijima na TVZ-u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Pružanje potpore studentima u njihovim budućim karijerama, pogotovo najboljima u generaciji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7751AF" w:rsidP="00752D27">
            <w:pPr>
              <w:rPr>
                <w:bCs/>
                <w:lang w:eastAsia="hr-HR"/>
              </w:rPr>
            </w:pPr>
            <w:r w:rsidRPr="00EE125E">
              <w:rPr>
                <w:bCs/>
                <w:lang w:eastAsia="hr-HR"/>
              </w:rPr>
              <w:t>Širenje cjeloživotnog obrazovanja i razmjena znanja između tvz-a i javnog i realnog sektora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Proširenje, jačanje i intenzivnija promocija poslijediplomski specijalistički studija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Kvalitativna i kvantitativna poboljšanja seminara i tečajeva namijenjenih stručnjacima iz industrije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323BC0" w:rsidRDefault="00EE125E" w:rsidP="00323BC0">
            <w:pPr>
              <w:pStyle w:val="Heading2"/>
              <w:outlineLvl w:val="1"/>
            </w:pPr>
            <w:bookmarkStart w:id="27" w:name="_Toc385207272"/>
            <w:r w:rsidRPr="00323BC0">
              <w:t>Istraživanje</w:t>
            </w:r>
            <w:bookmarkEnd w:id="27"/>
          </w:p>
        </w:tc>
        <w:tc>
          <w:tcPr>
            <w:tcW w:w="2802" w:type="dxa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bookmarkStart w:id="28" w:name="_Toc385175698"/>
            <w:bookmarkStart w:id="29" w:name="RANGE!B95"/>
            <w:r w:rsidRPr="00EE125E">
              <w:t>Istraživački rad i inovacije</w:t>
            </w:r>
            <w:bookmarkEnd w:id="28"/>
            <w:bookmarkEnd w:id="29"/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752D27" w:rsidP="00752D27">
            <w:pPr>
              <w:rPr>
                <w:lang w:eastAsia="hr-HR"/>
              </w:rPr>
            </w:pPr>
            <w:r>
              <w:rPr>
                <w:lang w:eastAsia="hr-HR"/>
              </w:rPr>
              <w:t>T</w:t>
            </w:r>
            <w:r w:rsidR="00EE125E" w:rsidRPr="00EE125E">
              <w:rPr>
                <w:lang w:eastAsia="hr-HR"/>
              </w:rPr>
              <w:t>ransdisciplinarna i interdisciplinarna primijenjena istraživanja u interakciji domena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Uobičajena primijenjena istraživanja u javnom i realnom sektoru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Pametni integrirani prijevoz prilagođen okolišu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ELEKTROTEHNIKA</w:t>
            </w:r>
          </w:p>
        </w:tc>
        <w:tc>
          <w:tcPr>
            <w:tcW w:w="14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7751AF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Sigurna, čista  i učinkovita energija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7751AF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Napredni materijali</w:t>
            </w:r>
          </w:p>
        </w:tc>
      </w:tr>
      <w:tr w:rsidR="00EE125E" w:rsidRPr="00EE125E" w:rsidTr="00E31793">
        <w:trPr>
          <w:trHeight w:val="315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7751AF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 xml:space="preserve">Distribucija </w:t>
            </w:r>
            <w:r w:rsidR="00EE125E" w:rsidRPr="00EE125E">
              <w:rPr>
                <w:lang w:eastAsia="hr-HR"/>
              </w:rPr>
              <w:t>energetskih izvora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Tehnologije distribuiranih energetskih izvora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Pametna brojila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Elektronička tehnologija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7751AF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Informacijska i komunikacijska tehnologija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7751AF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Uključeno, inovativno i sigurno društvo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7751AF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Računarstvo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7751AF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Mreže i usluge nove generacije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7751AF" w:rsidP="00752D27">
            <w:pPr>
              <w:rPr>
                <w:bCs/>
                <w:lang w:eastAsia="hr-HR"/>
              </w:rPr>
            </w:pPr>
            <w:r w:rsidRPr="00EE125E">
              <w:rPr>
                <w:bCs/>
                <w:lang w:eastAsia="hr-HR"/>
              </w:rPr>
              <w:t>Industrijska i uslužna ekonomija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e-zdravstvo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7751AF" w:rsidP="00752D27">
            <w:pPr>
              <w:rPr>
                <w:bCs/>
                <w:lang w:eastAsia="hr-HR"/>
              </w:rPr>
            </w:pPr>
            <w:r w:rsidRPr="00EE125E">
              <w:rPr>
                <w:bCs/>
                <w:lang w:eastAsia="hr-HR"/>
              </w:rPr>
              <w:t>Graditeljstvo</w:t>
            </w:r>
          </w:p>
        </w:tc>
        <w:tc>
          <w:tcPr>
            <w:tcW w:w="1418" w:type="dxa"/>
            <w:noWrap/>
            <w:hideMark/>
          </w:tcPr>
          <w:p w:rsidR="00EE125E" w:rsidRPr="00EE125E" w:rsidRDefault="00EE125E" w:rsidP="00752D27">
            <w:pPr>
              <w:rPr>
                <w:bCs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Materijali, strukture i geosustavi (Računalna mehanika, Geomehaničko modeliranje i karakterizacija, Dinamika i kontrola)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Ekološko inženjerstvo (Ekološka kemija i toksikologija, Ekološko procesno inženjerstvo, Hidrologija  i dinamika tekućina)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ICT u graditeljstvu: Napredno računarstvo u graditeljstvu; Inteligentni sustavi u graditeljstvu; Računalno integrirane konstrukcije; GIS aplikacija za graditeljstvo i zaštitu okoliša; Računalne aplikacije u strukturama.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7751AF" w:rsidP="00752D27">
            <w:pPr>
              <w:rPr>
                <w:bCs/>
                <w:lang w:eastAsia="hr-HR"/>
              </w:rPr>
            </w:pPr>
            <w:r w:rsidRPr="00EE125E">
              <w:rPr>
                <w:bCs/>
                <w:lang w:eastAsia="hr-HR"/>
              </w:rPr>
              <w:t>Mehatronika</w:t>
            </w:r>
          </w:p>
        </w:tc>
        <w:tc>
          <w:tcPr>
            <w:tcW w:w="1418" w:type="dxa"/>
            <w:noWrap/>
            <w:hideMark/>
          </w:tcPr>
          <w:p w:rsidR="00EE125E" w:rsidRPr="00EE125E" w:rsidRDefault="00EE125E" w:rsidP="00752D27">
            <w:pPr>
              <w:rPr>
                <w:bCs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uzdržavanje, upravljanje energijom; dizajn strojeva i kontrola distribucijske mreže; automatizacija proizvodnje i montaže; servo pneumatski sustavi; pametni pokretači i senzorski sustavi; integracijski sustavi; virtualno inženjerstvo; bio mehatronika;  inteligentni sustavi i kontrola; dizajn proizvoda i sustava; mikro i nano mehatronika; mehatronika i robotika.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7751AF" w:rsidP="00752D27">
            <w:pPr>
              <w:rPr>
                <w:bCs/>
                <w:lang w:eastAsia="hr-HR"/>
              </w:rPr>
            </w:pPr>
            <w:r w:rsidRPr="00EE125E">
              <w:rPr>
                <w:bCs/>
                <w:lang w:eastAsia="hr-HR"/>
              </w:rPr>
              <w:t>Strojarstvo</w:t>
            </w:r>
          </w:p>
        </w:tc>
        <w:tc>
          <w:tcPr>
            <w:tcW w:w="1418" w:type="dxa"/>
            <w:noWrap/>
            <w:hideMark/>
          </w:tcPr>
          <w:p w:rsidR="00EE125E" w:rsidRPr="00EE125E" w:rsidRDefault="00EE125E" w:rsidP="00752D27">
            <w:pPr>
              <w:rPr>
                <w:bCs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čvrste i tekuće mehanike do različitih studija materija, mehaničkih sustava i bio mehanike.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7751AF" w:rsidP="00752D27">
            <w:pPr>
              <w:rPr>
                <w:bCs/>
                <w:lang w:eastAsia="hr-HR"/>
              </w:rPr>
            </w:pPr>
            <w:r w:rsidRPr="00EE125E">
              <w:rPr>
                <w:bCs/>
                <w:lang w:eastAsia="hr-HR"/>
              </w:rPr>
              <w:t>Ortotika i protetika</w:t>
            </w:r>
          </w:p>
        </w:tc>
        <w:tc>
          <w:tcPr>
            <w:tcW w:w="1418" w:type="dxa"/>
            <w:noWrap/>
            <w:hideMark/>
          </w:tcPr>
          <w:p w:rsidR="00EE125E" w:rsidRPr="00EE125E" w:rsidRDefault="00EE125E" w:rsidP="00752D27">
            <w:pPr>
              <w:rPr>
                <w:bCs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dizajn protetičkih i ortotičkih pomagala, klinička procjena suvremene prakse, razvoj i ispitivanje novih materijala i metoda za protetiku i ortotiku, mjerenje tlak za dijabetičare, dizajn i izrada uložaka i cipela; razvoj i vrednovanje pomoću računalnog mjerenja pacijenta; dizajn uređaja i  proizvodni sustavi; mjerenje ljudske izvedba u zdravlju i bolestima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7751AF" w:rsidP="00323BC0">
            <w:pPr>
              <w:pStyle w:val="Heading3"/>
              <w:outlineLvl w:val="2"/>
            </w:pPr>
            <w:r w:rsidRPr="00EE125E">
              <w:t>Interdisciplinarno primjenjeno istraživanje</w:t>
            </w:r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Pametne kuće/zgrade</w:t>
            </w: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Pameti grad</w:t>
            </w: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18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Pametno upravljanje vodama</w:t>
            </w: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520" w:type="dxa"/>
            <w:gridSpan w:val="2"/>
            <w:noWrap/>
            <w:hideMark/>
          </w:tcPr>
          <w:p w:rsidR="00EE125E" w:rsidRPr="00EE125E" w:rsidRDefault="007751AF" w:rsidP="00323BC0">
            <w:pPr>
              <w:pStyle w:val="Heading3"/>
              <w:outlineLvl w:val="2"/>
            </w:pPr>
            <w:r w:rsidRPr="00EE125E">
              <w:t>Proširenje primijenjenih istraživanja i inovacijskih aktivnosti</w:t>
            </w: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Uvođenje interdisciplinarnih istraživačkih programa koji će povezati odjele unutar TVZ-a, a po potrebi i partnere izvan TVZ-a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Povećanje broja istraživača financiranih od strane gospodarstva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bCs/>
                <w:i/>
                <w:iCs/>
                <w:lang w:eastAsia="hr-HR"/>
              </w:rPr>
            </w:pPr>
            <w:r w:rsidRPr="00EE125E">
              <w:rPr>
                <w:bCs/>
                <w:i/>
                <w:iCs/>
                <w:lang w:eastAsia="hr-HR"/>
              </w:rPr>
              <w:t>Međunarodna suradnja u području primijenjenih istraživanja i inovacijskih aktivnosti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Upravljanje kapacitetima primijenjenih istraživanja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520" w:type="dxa"/>
            <w:gridSpan w:val="2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Sustavna potpora za poboljšanje istraživanja i razvoja te inovacijski resursi</w:t>
            </w: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Zapošljavanje najboljih mladih primijenjenih istraživačima na mjestima asistenata i predavača, jer budućnost i kvaliteta istraživanja na TVZ ovisi o njima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bCs/>
                <w:lang w:eastAsia="hr-HR"/>
              </w:rPr>
            </w:pPr>
            <w:r w:rsidRPr="00EE125E">
              <w:rPr>
                <w:bCs/>
                <w:lang w:eastAsia="hr-HR"/>
              </w:rPr>
              <w:t>Uspostavljanje istraživačkih i virtualnih laboratorija i centara izvrsnosti za strukturiranje istraživačkih aktivnosti TVZ-a sa sustavnim mjerama za promociju rada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bCs/>
                <w:lang w:eastAsia="hr-HR"/>
              </w:rPr>
            </w:pPr>
            <w:r w:rsidRPr="00EE125E">
              <w:rPr>
                <w:bCs/>
                <w:lang w:eastAsia="hr-HR"/>
              </w:rPr>
              <w:t>Sustavna briga o osoblju na način da ih se motivira za istraživački rad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bCs/>
                <w:lang w:eastAsia="hr-HR"/>
              </w:rPr>
            </w:pPr>
            <w:r w:rsidRPr="00EE125E">
              <w:rPr>
                <w:bCs/>
                <w:lang w:eastAsia="hr-HR"/>
              </w:rPr>
              <w:t>Stvaranje uvjeta za učinkovitiji rad znanstvenih novaka, nevezano uz izvore financiranja, kao i za razvoj karijere nakon završenog doktorskog studija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bCs/>
                <w:lang w:eastAsia="hr-HR"/>
              </w:rPr>
            </w:pPr>
            <w:r w:rsidRPr="00EE125E">
              <w:rPr>
                <w:bCs/>
                <w:lang w:eastAsia="hr-HR"/>
              </w:rPr>
              <w:t>Povećanje mobilnosti mladih suradnika kroz znanstvene specijalizacije i pripreme doktorskih disertacija na prestižnim domaćim i međunarodnim centrima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bCs/>
                <w:lang w:eastAsia="hr-HR"/>
              </w:rPr>
            </w:pPr>
            <w:r w:rsidRPr="00EE125E">
              <w:rPr>
                <w:bCs/>
                <w:lang w:eastAsia="hr-HR"/>
              </w:rPr>
              <w:t>Planirana briga o svakom mladom doktoru znanosti te pomoć pri nastavku znanstvenih i stručnih poslova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136" w:type="dxa"/>
            <w:gridSpan w:val="2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 xml:space="preserve">Poticanje osnivanja </w:t>
            </w:r>
            <w:r w:rsidRPr="00EE125E">
              <w:rPr>
                <w:i/>
                <w:iCs/>
                <w:lang w:eastAsia="hr-HR"/>
              </w:rPr>
              <w:t>spin-off</w:t>
            </w:r>
            <w:r w:rsidRPr="00EE125E">
              <w:rPr>
                <w:lang w:eastAsia="hr-HR"/>
              </w:rPr>
              <w:t xml:space="preserve"> i </w:t>
            </w:r>
            <w:r w:rsidRPr="00EE125E">
              <w:rPr>
                <w:i/>
                <w:iCs/>
                <w:lang w:eastAsia="hr-HR"/>
              </w:rPr>
              <w:t>start-up</w:t>
            </w:r>
            <w:r w:rsidRPr="00EE125E">
              <w:rPr>
                <w:lang w:eastAsia="hr-HR"/>
              </w:rPr>
              <w:t xml:space="preserve"> tvrtki</w:t>
            </w:r>
          </w:p>
        </w:tc>
        <w:tc>
          <w:tcPr>
            <w:tcW w:w="3503" w:type="dxa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bCs/>
                <w:lang w:eastAsia="hr-HR"/>
              </w:rPr>
            </w:pPr>
            <w:r w:rsidRPr="00EE125E">
              <w:rPr>
                <w:bCs/>
                <w:lang w:eastAsia="hr-HR"/>
              </w:rPr>
              <w:t>Uspostavljanje Centar za inovacije i tehnološke transfere na TVZ-u, koji bi se sastojao od mreže istraživačkih i razvojnih jedinica s komplementarnim djelatnostima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bCs/>
                <w:lang w:eastAsia="hr-HR"/>
              </w:rPr>
            </w:pPr>
            <w:r w:rsidRPr="00EE125E">
              <w:rPr>
                <w:bCs/>
                <w:lang w:eastAsia="hr-HR"/>
              </w:rPr>
              <w:t>Promicanje suradnje s renomiranim znanstvenicima hrvatskog podrijetla koji žive i rade u inozemstvu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6520" w:type="dxa"/>
            <w:gridSpan w:val="2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Osiguranje visokokvalitetnih doktorskih studija mentoriranih na TVZ-u</w:t>
            </w: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Integracija primijenjenih istraživanja, inovacija i nastave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Razvoj i primjena novih suradničkih profesionalnih doktorskih programa usmjerenih na potrebe hrvatskih i europskih tržišta u visokom obrazovanju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Temeljenje zajedničkih  stručnih i znanstvenih doktorskih radova na sustavnom istraživanju s potencijalom za primjenu rezultata istraživanja u industriji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Poticanje objavljivanja znanstvenih radova u prestižnim međunarodnim publikacijama i poticanje inovacija i njihovu komercijalizaciju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Sklapanje sporazuma matičnim institucijama doktoranda kako bi se utvrdili uvjeti za njihova primijenjena istraživanja</w:t>
            </w:r>
          </w:p>
        </w:tc>
      </w:tr>
      <w:tr w:rsidR="00EE125E" w:rsidRPr="00EE125E" w:rsidTr="009B763A">
        <w:trPr>
          <w:trHeight w:val="300"/>
        </w:trPr>
        <w:tc>
          <w:tcPr>
            <w:tcW w:w="4357" w:type="dxa"/>
            <w:gridSpan w:val="2"/>
            <w:shd w:val="clear" w:color="auto" w:fill="EDEDED" w:themeFill="accent3" w:themeFillTint="33"/>
            <w:noWrap/>
            <w:hideMark/>
          </w:tcPr>
          <w:p w:rsidR="00EE125E" w:rsidRPr="00323BC0" w:rsidRDefault="00EE125E" w:rsidP="00323BC0">
            <w:pPr>
              <w:pStyle w:val="Heading2"/>
              <w:outlineLvl w:val="1"/>
            </w:pPr>
            <w:bookmarkStart w:id="30" w:name="_Toc385175703"/>
            <w:bookmarkStart w:id="31" w:name="RANGE!A147"/>
            <w:bookmarkStart w:id="32" w:name="_Toc385207273"/>
            <w:r w:rsidRPr="00323BC0">
              <w:t>Organizacija i upravljanje, razvoj infrastrukture i sustav osiguranja kvalitete</w:t>
            </w:r>
            <w:bookmarkEnd w:id="30"/>
            <w:bookmarkEnd w:id="31"/>
            <w:bookmarkEnd w:id="32"/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Stvaranje učinkovite organizacije na TVZ-u</w:t>
            </w: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Poboljšanje i inovacija TVZ-ovih operacija</w:t>
            </w: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Unapređenje postojećih i razvoj novih infrastruktura na TVZ-u</w:t>
            </w: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520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Uspostava sustava osiguranja kvalitete u svim segmentima TVZ-ovih aktivnosti i operacija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323BC0" w:rsidP="00323BC0">
            <w:pPr>
              <w:pStyle w:val="Heading3"/>
              <w:outlineLvl w:val="2"/>
            </w:pPr>
            <w:r>
              <w:t>U</w:t>
            </w:r>
            <w:r w:rsidR="00EE125E" w:rsidRPr="00EE125E">
              <w:t>spostava učinkovite organizacije</w:t>
            </w: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Uvođenje novih organizacijskih oblika u skladu s Pravilnikom o organizaciji i Pravilnikom o upravljanju TVZ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Podržavanje potreba okruženja u kojem djeluje TVZ, u suradnji s TVZ-ovim Savjetodavnim odborom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Porast ukupne kvalitete rada i koordinacije svih TVZ-ovih aktivnostima kroz TVZ-ove odbore i povjerenstva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Jačanje središnjih i suradničkih knjižničnih usluga u obrazovnim i znanstvenim aktivnostima TVZ-a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39" w:type="dxa"/>
            <w:gridSpan w:val="3"/>
            <w:shd w:val="clear" w:color="auto" w:fill="EDEDED" w:themeFill="accent3" w:themeFillTint="33"/>
            <w:noWrap/>
            <w:hideMark/>
          </w:tcPr>
          <w:p w:rsidR="00EE125E" w:rsidRPr="00EE125E" w:rsidRDefault="00EE125E" w:rsidP="00752D27">
            <w:pPr>
              <w:rPr>
                <w:lang w:eastAsia="hr-HR"/>
              </w:rPr>
            </w:pPr>
            <w:r w:rsidRPr="00EE125E">
              <w:rPr>
                <w:lang w:eastAsia="hr-HR"/>
              </w:rPr>
              <w:t>Uspostava prototipa radionice za laboratorijske uvjete TVZ-ovih odjela</w:t>
            </w:r>
          </w:p>
        </w:tc>
      </w:tr>
      <w:tr w:rsidR="00EE125E" w:rsidRPr="00EE125E" w:rsidTr="00EE125E">
        <w:trPr>
          <w:trHeight w:val="300"/>
        </w:trPr>
        <w:tc>
          <w:tcPr>
            <w:tcW w:w="4357" w:type="dxa"/>
            <w:gridSpan w:val="2"/>
            <w:noWrap/>
            <w:hideMark/>
          </w:tcPr>
          <w:p w:rsidR="00EE125E" w:rsidRPr="00323BC0" w:rsidRDefault="007751AF" w:rsidP="00323BC0">
            <w:pPr>
              <w:pStyle w:val="Heading2"/>
              <w:outlineLvl w:val="1"/>
            </w:pPr>
            <w:bookmarkStart w:id="33" w:name="_Toc385207274"/>
            <w:r w:rsidRPr="00323BC0">
              <w:t>Unapređenje poslovanje TVZ-a</w:t>
            </w:r>
            <w:bookmarkEnd w:id="33"/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520" w:type="dxa"/>
            <w:gridSpan w:val="2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Povećanje učinkovitosti operacija TVZ-a na administrativnom, financijskom i pravnom području</w:t>
            </w: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Jačanje učinkovitosti uprave i stručnih služba i odjela TVZ-a</w:t>
            </w:r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441" w:type="dxa"/>
            <w:gridSpan w:val="4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Osposobljavanje osoblja TVZ-a odgovorno za zajedničke usluge za obavljanje djelatnosti povezanih s međunarodnim operacijama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Jačanje uloge Tajništva TVZ u pripremi ugovora, a osobito međunarodnih</w:t>
            </w:r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4357" w:type="dxa"/>
            <w:gridSpan w:val="2"/>
            <w:shd w:val="clear" w:color="auto" w:fill="EDEDED" w:themeFill="accent3" w:themeFillTint="33"/>
            <w:noWrap/>
            <w:hideMark/>
          </w:tcPr>
          <w:p w:rsidR="00EE125E" w:rsidRPr="00323BC0" w:rsidRDefault="007751AF" w:rsidP="00323BC0">
            <w:pPr>
              <w:pStyle w:val="Heading2"/>
              <w:outlineLvl w:val="1"/>
            </w:pPr>
            <w:bookmarkStart w:id="34" w:name="_Toc385207275"/>
            <w:r w:rsidRPr="00323BC0">
              <w:t xml:space="preserve">Poboljšanje infrastrukture </w:t>
            </w:r>
            <w:r w:rsidR="00EE125E" w:rsidRPr="00323BC0">
              <w:t>TVZ-a</w:t>
            </w:r>
            <w:bookmarkEnd w:id="34"/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520" w:type="dxa"/>
            <w:gridSpan w:val="2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Izgradnja i / ili zakup dodatnih i novih prostora kako bi se postigli dugoročni razvojni planovi</w:t>
            </w: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441" w:type="dxa"/>
            <w:gridSpan w:val="4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  <w:rPr>
                <w:bCs/>
              </w:rPr>
            </w:pPr>
            <w:r w:rsidRPr="00EE125E">
              <w:rPr>
                <w:bCs/>
              </w:rPr>
              <w:t>Informatizacija svih operacija TVZ-a s ciljem poboljšanja učinkovitosti poslovanja, obrazovanja, istraživanja i inovacijskih procesa</w:t>
            </w: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  <w:rPr>
                <w:bCs/>
              </w:rPr>
            </w:pPr>
            <w:r w:rsidRPr="00EE125E">
              <w:rPr>
                <w:bCs/>
              </w:rPr>
              <w:t>Kontinuirano ulaganje u razvoj informacijske infrastrukture TVZ-a</w:t>
            </w: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  <w:rPr>
                <w:bCs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  <w:rPr>
                <w:bCs/>
              </w:rPr>
            </w:pPr>
            <w:r w:rsidRPr="00EE125E">
              <w:rPr>
                <w:bCs/>
              </w:rPr>
              <w:t>Poboljšanje engleske verzije web stranice TVZ-a</w:t>
            </w:r>
          </w:p>
        </w:tc>
        <w:tc>
          <w:tcPr>
            <w:tcW w:w="37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  <w:rPr>
                <w:bCs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</w:p>
        </w:tc>
        <w:tc>
          <w:tcPr>
            <w:tcW w:w="3503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</w:p>
        </w:tc>
      </w:tr>
      <w:tr w:rsidR="00EE125E" w:rsidRPr="00EE125E" w:rsidTr="009B763A">
        <w:trPr>
          <w:trHeight w:val="300"/>
        </w:trPr>
        <w:tc>
          <w:tcPr>
            <w:tcW w:w="1555" w:type="dxa"/>
            <w:shd w:val="clear" w:color="auto" w:fill="EDEDED" w:themeFill="accent3" w:themeFillTint="33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441" w:type="dxa"/>
            <w:gridSpan w:val="4"/>
            <w:shd w:val="clear" w:color="auto" w:fill="EDEDED" w:themeFill="accent3" w:themeFillTint="3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  <w:rPr>
                <w:bCs/>
              </w:rPr>
            </w:pPr>
            <w:r w:rsidRPr="00EE125E">
              <w:rPr>
                <w:bCs/>
              </w:rPr>
              <w:t>Poboljšanje energetske učinkovitosti TVZ-a i popularizacija energetske učinkovitosti uspostavom odgovarajućeg centra na TVZ-u</w:t>
            </w:r>
          </w:p>
        </w:tc>
      </w:tr>
      <w:tr w:rsidR="00EE125E" w:rsidRPr="00EE125E" w:rsidTr="00EE125E">
        <w:trPr>
          <w:trHeight w:val="300"/>
        </w:trPr>
        <w:tc>
          <w:tcPr>
            <w:tcW w:w="4357" w:type="dxa"/>
            <w:gridSpan w:val="2"/>
            <w:noWrap/>
            <w:hideMark/>
          </w:tcPr>
          <w:p w:rsidR="00EE125E" w:rsidRPr="00323BC0" w:rsidRDefault="00EE125E" w:rsidP="00323BC0">
            <w:pPr>
              <w:pStyle w:val="Heading2"/>
              <w:outlineLvl w:val="1"/>
            </w:pPr>
            <w:bookmarkStart w:id="35" w:name="_Toc385207276"/>
            <w:r w:rsidRPr="00323BC0">
              <w:t>Uspostava sustava za jamstvo kvalitete u svim segmentima TVZ-a</w:t>
            </w:r>
            <w:bookmarkEnd w:id="35"/>
          </w:p>
        </w:tc>
        <w:tc>
          <w:tcPr>
            <w:tcW w:w="3718" w:type="dxa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441" w:type="dxa"/>
            <w:gridSpan w:val="4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Osiguravanje kvalitete kao stalni proces integriran u obrazovanje, istraživanje, inovacije i administrativni rad TVZ-u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1441" w:type="dxa"/>
            <w:gridSpan w:val="4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Pristup upravljanju kvalitetom temelji se na samo-vrednovanju i studentskim anketama, kao i na periodičnom unutarnjem i međunarodnom ocjenjivanju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1441" w:type="dxa"/>
            <w:gridSpan w:val="4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Suradnja TVZ-ovih tijela odgovornih za kvalitetu s Agencijom za znanost i visoko obrazovanje te s unutarnjim i vanjskim dionicima sustava osiguranja kvalitete TVZ-a</w:t>
            </w:r>
          </w:p>
        </w:tc>
      </w:tr>
      <w:tr w:rsidR="00EE125E" w:rsidRPr="00EE125E" w:rsidTr="00E31793">
        <w:trPr>
          <w:trHeight w:val="300"/>
        </w:trPr>
        <w:tc>
          <w:tcPr>
            <w:tcW w:w="1555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7938" w:type="dxa"/>
            <w:gridSpan w:val="3"/>
            <w:noWrap/>
            <w:hideMark/>
          </w:tcPr>
          <w:p w:rsidR="00EE125E" w:rsidRPr="00EE125E" w:rsidRDefault="00EE125E" w:rsidP="00323BC0">
            <w:pPr>
              <w:pStyle w:val="Heading3"/>
              <w:outlineLvl w:val="2"/>
            </w:pPr>
            <w:r w:rsidRPr="00EE125E">
              <w:t>Sustavno ulaganje u pedagošku izobrazbu osoblja TVZ-a i profesionalni razvoj nenastavnog osoblja TVZ-a</w:t>
            </w:r>
          </w:p>
        </w:tc>
        <w:tc>
          <w:tcPr>
            <w:tcW w:w="3503" w:type="dxa"/>
            <w:noWrap/>
            <w:hideMark/>
          </w:tcPr>
          <w:p w:rsidR="00EE125E" w:rsidRPr="00EE125E" w:rsidRDefault="00EE125E" w:rsidP="00EE125E">
            <w:pPr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</w:tbl>
    <w:p w:rsidR="00EE125E" w:rsidRDefault="00EE125E">
      <w:pPr>
        <w:rPr>
          <w:rFonts w:ascii="Times New Roman" w:hAnsi="Times New Roman" w:cs="Times New Roman"/>
        </w:rPr>
      </w:pPr>
    </w:p>
    <w:p w:rsidR="00AF1891" w:rsidRDefault="00AF1891">
      <w:pPr>
        <w:rPr>
          <w:rFonts w:ascii="Times New Roman" w:hAnsi="Times New Roman" w:cs="Times New Roman"/>
        </w:rPr>
      </w:pPr>
    </w:p>
    <w:p w:rsidR="00AF1891" w:rsidRDefault="00AF1891">
      <w:pPr>
        <w:rPr>
          <w:rFonts w:ascii="Times New Roman" w:hAnsi="Times New Roman" w:cs="Times New Roman"/>
        </w:rPr>
      </w:pPr>
    </w:p>
    <w:p w:rsidR="00AF1891" w:rsidRDefault="00AF1891">
      <w:pPr>
        <w:rPr>
          <w:rFonts w:ascii="Times New Roman" w:hAnsi="Times New Roman" w:cs="Times New Roman"/>
        </w:rPr>
      </w:pPr>
    </w:p>
    <w:p w:rsidR="00752D27" w:rsidRDefault="00752D27">
      <w:pPr>
        <w:rPr>
          <w:rFonts w:ascii="Times New Roman" w:hAnsi="Times New Roman" w:cs="Times New Roman"/>
        </w:rPr>
      </w:pPr>
    </w:p>
    <w:p w:rsidR="00752D27" w:rsidRDefault="00752D27">
      <w:pPr>
        <w:rPr>
          <w:rFonts w:ascii="Times New Roman" w:hAnsi="Times New Roman" w:cs="Times New Roman"/>
        </w:rPr>
      </w:pPr>
    </w:p>
    <w:p w:rsidR="00752D27" w:rsidRDefault="00752D27">
      <w:pPr>
        <w:rPr>
          <w:rFonts w:ascii="Times New Roman" w:hAnsi="Times New Roman" w:cs="Times New Roman"/>
        </w:rPr>
      </w:pPr>
    </w:p>
    <w:p w:rsidR="00752D27" w:rsidRDefault="00752D27">
      <w:pPr>
        <w:rPr>
          <w:rFonts w:ascii="Times New Roman" w:hAnsi="Times New Roman" w:cs="Times New Roman"/>
        </w:rPr>
      </w:pPr>
    </w:p>
    <w:p w:rsidR="00752D27" w:rsidRDefault="00752D27">
      <w:pPr>
        <w:rPr>
          <w:rFonts w:ascii="Times New Roman" w:hAnsi="Times New Roman" w:cs="Times New Roman"/>
        </w:rPr>
      </w:pPr>
    </w:p>
    <w:p w:rsidR="00AF1891" w:rsidRDefault="00AF1891" w:rsidP="00AF1891">
      <w:pPr>
        <w:pStyle w:val="Heading1"/>
      </w:pPr>
      <w:bookmarkStart w:id="36" w:name="_Toc385207277"/>
      <w:r>
        <w:t>Projekcija ciljeva i pokazatelja međunarodne suradnje</w:t>
      </w:r>
      <w:bookmarkEnd w:id="36"/>
    </w:p>
    <w:p w:rsidR="00AF1891" w:rsidRDefault="00AF1891">
      <w:pPr>
        <w:rPr>
          <w:rFonts w:ascii="Times New Roman" w:hAnsi="Times New Roman" w:cs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5543"/>
        <w:gridCol w:w="823"/>
        <w:gridCol w:w="1320"/>
        <w:gridCol w:w="1421"/>
        <w:gridCol w:w="1204"/>
      </w:tblGrid>
      <w:tr w:rsidR="00AF1891" w:rsidRPr="00C13AEE" w:rsidTr="00AF1891">
        <w:trPr>
          <w:trHeight w:val="900"/>
          <w:tblHeader/>
        </w:trPr>
        <w:tc>
          <w:tcPr>
            <w:tcW w:w="0" w:type="auto"/>
            <w:shd w:val="clear" w:color="000000" w:fill="F2F2F2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Program/projekt</w:t>
            </w:r>
          </w:p>
        </w:tc>
        <w:tc>
          <w:tcPr>
            <w:tcW w:w="0" w:type="auto"/>
            <w:shd w:val="clear" w:color="000000" w:fill="F2F2F2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Ciljevi</w:t>
            </w:r>
          </w:p>
        </w:tc>
        <w:tc>
          <w:tcPr>
            <w:tcW w:w="0" w:type="auto"/>
            <w:shd w:val="clear" w:color="000000" w:fill="F2F2F2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Bazna godina (2012)</w:t>
            </w:r>
          </w:p>
        </w:tc>
        <w:tc>
          <w:tcPr>
            <w:tcW w:w="0" w:type="auto"/>
            <w:shd w:val="clear" w:color="000000" w:fill="F2F2F2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Kratkoročno (2013)</w:t>
            </w:r>
          </w:p>
        </w:tc>
        <w:tc>
          <w:tcPr>
            <w:tcW w:w="0" w:type="auto"/>
            <w:shd w:val="clear" w:color="000000" w:fill="F2F2F2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Srednjoročno (2014/15)</w:t>
            </w:r>
          </w:p>
        </w:tc>
        <w:tc>
          <w:tcPr>
            <w:tcW w:w="0" w:type="auto"/>
            <w:shd w:val="clear" w:color="000000" w:fill="F2F2F2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Dugoročno (2020)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000000" w:fill="B8CCE4"/>
            <w:noWrap/>
            <w:vAlign w:val="bottom"/>
            <w:hideMark/>
          </w:tcPr>
          <w:p w:rsidR="00AF1891" w:rsidRPr="00C13AEE" w:rsidRDefault="00AF1891" w:rsidP="00323BC0">
            <w:pPr>
              <w:pStyle w:val="Heading2"/>
            </w:pPr>
            <w:bookmarkStart w:id="37" w:name="_Toc385207278"/>
            <w:r w:rsidRPr="00C13AEE">
              <w:t>Mobilnost</w:t>
            </w:r>
            <w:bookmarkEnd w:id="37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AF1891" w:rsidRPr="00C13AEE" w:rsidRDefault="00AF1891" w:rsidP="00323BC0">
            <w:pPr>
              <w:pStyle w:val="Heading3"/>
            </w:pPr>
            <w:r w:rsidRPr="00C13AEE">
              <w:t>Erasmus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Broj sklopljenih ugovora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15,4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18,48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24,024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Mobilnost studenata u svrhu studijskog boravka- odlazni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13,2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15,84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20,592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Mobilnost studenata u svrhu studijskog boravka - dolazni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15,6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Stručna praksa za studente - odlazni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Stručna praksa za studente - dolazni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Kombinacija studijskog boravka i stručne prakse - odlazni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Kombinacija studijskog boravka i stručne prakse - dolazni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Mobilnost nastavnika - odlazni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13,2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17,16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Mobilnost nastavnika - dolazni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4,4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5,28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6,864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Mobilnost ostalog osoblja - odlazni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2,2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2,64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3,432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Mobilnost ostalog osoblja - dolazni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1,2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1,56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AF1891" w:rsidRPr="00C13AEE" w:rsidRDefault="00AF1891" w:rsidP="00323BC0">
            <w:pPr>
              <w:pStyle w:val="Heading3"/>
            </w:pPr>
            <w:r w:rsidRPr="00C13AEE">
              <w:t>Erasmus Mundus (2013)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Broj sklopljenih ugovora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Združeni diplomski i doktorski studiji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Stipendiranje kandidata - aktivnost 1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Internacionalizacija visokih učilišta - aktivnost 3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1891" w:rsidRPr="00C13AEE" w:rsidRDefault="00AF1891" w:rsidP="00323BC0">
            <w:pPr>
              <w:pStyle w:val="Heading3"/>
            </w:pPr>
            <w:r w:rsidRPr="00C13AEE">
              <w:t>CEEPUS - Srednjeeuropski program sveučilišne razmjene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Broj sklopljenih ugovora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F1891" w:rsidRPr="00C13AEE" w:rsidTr="00AF1891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Mobilnost studenata - odlazni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Mobilnost studenata - dolazni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Mobilnost nastavnika - odlazni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Mobilnost nastavnika - dolazni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AF1891" w:rsidRPr="00C13AEE" w:rsidRDefault="00AF1891" w:rsidP="00323BC0">
            <w:pPr>
              <w:pStyle w:val="Heading3"/>
            </w:pPr>
            <w:r w:rsidRPr="00C13AEE">
              <w:t>Tempus</w:t>
            </w: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Broj sklopljenih ugovora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Razvoj nastavnog programa (reforma kurikuluma)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Povećanje mobilnosti studenata i profesora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6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Povećanje regionalne suradnje među visokim učilištima jugoistočne Europe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Razvoj "trokuta": obrazovanje-istraživanje-inovacije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Reforma upravljanja (menadžment TVZ, kvalifikacijski okvir)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Modernizacija visokog obrazovanja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Zajednički projekti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Cjeloživotno učenje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Suradnja sa Zajedničkim istraživačkim centrom EU (informacijsko društvo)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AF1891" w:rsidRPr="00C13AEE" w:rsidRDefault="00AF1891" w:rsidP="00323BC0">
            <w:pPr>
              <w:pStyle w:val="Heading3"/>
            </w:pPr>
            <w:bookmarkStart w:id="38" w:name="RANGE!B41"/>
            <w:r w:rsidRPr="00C13AEE">
              <w:t>Marie Currie (FP7)</w:t>
            </w:r>
            <w:bookmarkEnd w:id="38"/>
          </w:p>
        </w:tc>
        <w:tc>
          <w:tcPr>
            <w:tcW w:w="0" w:type="auto"/>
            <w:shd w:val="clear" w:color="000000" w:fill="FFFFC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Broj sklopljenih ugovora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F1891" w:rsidRPr="00C13AEE" w:rsidTr="00AF1891">
        <w:trPr>
          <w:trHeight w:val="6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Potpora je namijenjena znanstvenicima koji istraživanja provode u EU ili drugim dijelovima svijeta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6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1891" w:rsidRPr="00C13AEE" w:rsidRDefault="00AF1891" w:rsidP="00323BC0">
            <w:pPr>
              <w:pStyle w:val="Heading3"/>
            </w:pPr>
            <w:bookmarkStart w:id="39" w:name="RANGE!B44"/>
            <w:r w:rsidRPr="00C13AEE">
              <w:t>Sedmi okvirni istraživački program (FP7)</w:t>
            </w:r>
            <w:bookmarkEnd w:id="39"/>
          </w:p>
        </w:tc>
        <w:tc>
          <w:tcPr>
            <w:tcW w:w="0" w:type="auto"/>
            <w:shd w:val="clear" w:color="000000" w:fill="FFFFCC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Ideje-poticanje kreativnosti i novih istraživanja na granicama znanja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F1891" w:rsidRPr="00C13AEE" w:rsidTr="00AF1891">
        <w:trPr>
          <w:trHeight w:val="12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F1891" w:rsidRPr="00C13AEE" w:rsidRDefault="00F6053E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9" w:history="1">
              <w:r w:rsidR="00AF1891" w:rsidRPr="00C13AEE">
                <w:rPr>
                  <w:rFonts w:ascii="Calibri" w:eastAsia="Times New Roman" w:hAnsi="Calibri" w:cs="Calibri"/>
                  <w:color w:val="000000"/>
                </w:rPr>
                <w:t>Ljudi: program usmjeren na usavršavanje istraživača putem međunarodne mobilnosti diljem svijeta, ali i poticanja broja istraživača u području istraživanja i tehnološkog razvoja.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F1891" w:rsidRPr="00C13AEE" w:rsidTr="00AF1891">
        <w:trPr>
          <w:trHeight w:val="9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000000" w:fill="FFFFCC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 xml:space="preserve">Poticanje inovacije s pozitivnim učinkom na ekonomiju i društvo kroz osiguravanje komercijalnih primjena rezultata istraživanja.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1155"/>
        </w:trPr>
        <w:tc>
          <w:tcPr>
            <w:tcW w:w="0" w:type="auto"/>
            <w:shd w:val="clear" w:color="000000" w:fill="DCE6F1"/>
            <w:vAlign w:val="bottom"/>
            <w:hideMark/>
          </w:tcPr>
          <w:p w:rsidR="00AF1891" w:rsidRPr="00C13AEE" w:rsidRDefault="00AF1891" w:rsidP="00323BC0">
            <w:pPr>
              <w:pStyle w:val="Heading2"/>
            </w:pPr>
            <w:bookmarkStart w:id="40" w:name="_Toc385207279"/>
            <w:r w:rsidRPr="00C13AEE">
              <w:t>Program za cjeloživotno učenje (Lifelong Learning Programme)</w:t>
            </w:r>
            <w:bookmarkEnd w:id="40"/>
            <w:r w:rsidRPr="00C13AEE"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6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F1891" w:rsidRPr="00C13AEE" w:rsidRDefault="00AF1891" w:rsidP="00323BC0">
            <w:pPr>
              <w:pStyle w:val="Heading3"/>
            </w:pPr>
            <w:r w:rsidRPr="00C13AEE">
              <w:t>Interakcija, suradnja i mobilnost sustava obrazovanja i stručnog usavršavanja unutar EU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870"/>
        </w:trPr>
        <w:tc>
          <w:tcPr>
            <w:tcW w:w="0" w:type="auto"/>
            <w:shd w:val="clear" w:color="000000" w:fill="DCE6F1"/>
            <w:vAlign w:val="bottom"/>
            <w:hideMark/>
          </w:tcPr>
          <w:p w:rsidR="00AF1891" w:rsidRPr="00C13AEE" w:rsidRDefault="00AF1891" w:rsidP="00323BC0">
            <w:pPr>
              <w:pStyle w:val="Heading2"/>
            </w:pPr>
            <w:bookmarkStart w:id="41" w:name="_Toc385207280"/>
            <w:r w:rsidRPr="00C13AEE">
              <w:t>Bilateralna obrazovna i znanstveno-istraživačka suradnja</w:t>
            </w:r>
            <w:bookmarkEnd w:id="41"/>
            <w:r w:rsidRPr="00C13AEE"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000000" w:fill="FFEB9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9C6500"/>
              </w:rPr>
            </w:pPr>
            <w:r w:rsidRPr="00C13AEE">
              <w:rPr>
                <w:rFonts w:ascii="Calibri" w:eastAsia="Times New Roman" w:hAnsi="Calibri" w:cs="Calibri"/>
                <w:color w:val="9C6500"/>
              </w:rPr>
              <w:t>Bilateralni sporazumi (izvan Erasmusa)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13AEE">
              <w:rPr>
                <w:rFonts w:eastAsia="Times New Roman"/>
                <w:color w:val="000000"/>
              </w:rPr>
              <w:t>Rad na zajednički dogovorenim temama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000000" w:fill="FFEB9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9C6500"/>
              </w:rPr>
            </w:pPr>
            <w:r w:rsidRPr="00C13AEE">
              <w:rPr>
                <w:rFonts w:ascii="Calibri" w:eastAsia="Times New Roman" w:hAnsi="Calibri" w:cs="Calibri"/>
                <w:color w:val="9C6500"/>
              </w:rPr>
              <w:t>Razmjena nastavnog osoblja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13AEE">
              <w:rPr>
                <w:rFonts w:eastAsia="Times New Roman"/>
                <w:color w:val="000000"/>
              </w:rPr>
              <w:t>Razmjena studenata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000000" w:fill="FFEB9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9C6500"/>
              </w:rPr>
            </w:pPr>
            <w:r w:rsidRPr="00C13AEE">
              <w:rPr>
                <w:rFonts w:ascii="Calibri" w:eastAsia="Times New Roman" w:hAnsi="Calibri" w:cs="Calibri"/>
                <w:color w:val="9C6500"/>
              </w:rPr>
              <w:t>Zajedničko publiciranje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13AEE">
              <w:rPr>
                <w:rFonts w:eastAsia="Times New Roman"/>
                <w:color w:val="000000"/>
              </w:rPr>
              <w:t>Razmjena informacija od obostranog interesa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F1891" w:rsidRPr="00C13AEE" w:rsidTr="00AF1891">
        <w:trPr>
          <w:trHeight w:val="6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000000" w:fill="FFEB9C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9C6500"/>
              </w:rPr>
            </w:pPr>
            <w:r w:rsidRPr="00C13AEE">
              <w:rPr>
                <w:rFonts w:ascii="Calibri" w:eastAsia="Times New Roman" w:hAnsi="Calibri" w:cs="Calibri"/>
                <w:color w:val="9C6500"/>
              </w:rPr>
              <w:t>Ostale aktivnosti kojima je svrha promoviranje akademske suradnje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13AEE">
              <w:rPr>
                <w:rFonts w:eastAsia="Times New Roman"/>
                <w:color w:val="000000"/>
              </w:rPr>
              <w:t>Međunarodne stručne radionice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000000" w:fill="FFEB9C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9C6500"/>
              </w:rPr>
            </w:pPr>
            <w:r w:rsidRPr="00C13AEE">
              <w:rPr>
                <w:rFonts w:ascii="Calibri" w:eastAsia="Times New Roman" w:hAnsi="Calibri" w:cs="Calibri"/>
                <w:color w:val="9C6500"/>
              </w:rPr>
              <w:t>Razvoj međunarodnih obrazovnih programa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13AEE">
              <w:rPr>
                <w:rFonts w:eastAsia="Times New Roman"/>
                <w:color w:val="000000"/>
              </w:rPr>
              <w:t>Povećanje broja gostujućih predavača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000000" w:fill="DCE6F1"/>
            <w:noWrap/>
            <w:vAlign w:val="bottom"/>
            <w:hideMark/>
          </w:tcPr>
          <w:p w:rsidR="00AF1891" w:rsidRPr="00C13AEE" w:rsidRDefault="00AF1891" w:rsidP="00323BC0">
            <w:pPr>
              <w:pStyle w:val="Heading2"/>
            </w:pPr>
            <w:bookmarkStart w:id="42" w:name="RANGE!B63"/>
            <w:bookmarkStart w:id="43" w:name="_Toc385207281"/>
            <w:r w:rsidRPr="00C13AEE">
              <w:t>Multilateralna suradnja</w:t>
            </w:r>
            <w:bookmarkEnd w:id="42"/>
            <w:bookmarkEnd w:id="43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6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000000" w:fill="FFEB9C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9C6500"/>
              </w:rPr>
            </w:pPr>
            <w:r w:rsidRPr="00C13AEE">
              <w:rPr>
                <w:rFonts w:ascii="Calibri" w:eastAsia="Times New Roman" w:hAnsi="Calibri" w:cs="Calibri"/>
                <w:color w:val="9C6500"/>
              </w:rPr>
              <w:t>Sudjelovanje u multilateralnim programima globalnih, europskih i regionalnih organizacija i inicijativa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pStyle w:val="Heading2"/>
            </w:pPr>
            <w:bookmarkStart w:id="44" w:name="_Toc385207282"/>
            <w:r w:rsidRPr="00C13AEE">
              <w:t>EURASHE</w:t>
            </w:r>
            <w:bookmarkEnd w:id="44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6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1891" w:rsidRPr="00C13AEE" w:rsidRDefault="00AF1891" w:rsidP="00323BC0">
            <w:pPr>
              <w:pStyle w:val="Heading2"/>
            </w:pPr>
            <w:bookmarkStart w:id="45" w:name="_Toc385207283"/>
            <w:r w:rsidRPr="00C13AEE">
              <w:t>Rektorska konferencija Alpe-Jadran</w:t>
            </w:r>
            <w:bookmarkEnd w:id="45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13AEE">
              <w:rPr>
                <w:rFonts w:eastAsia="Times New Roman"/>
                <w:color w:val="000000"/>
              </w:rPr>
              <w:t>Rektorska konferencija Alpe-Jadran - primanje u članstvo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600"/>
        </w:trPr>
        <w:tc>
          <w:tcPr>
            <w:tcW w:w="0" w:type="auto"/>
            <w:vMerge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000000" w:fill="FFEB9C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9C6500"/>
              </w:rPr>
            </w:pPr>
            <w:r w:rsidRPr="00C13AEE">
              <w:rPr>
                <w:rFonts w:ascii="Calibri" w:eastAsia="Times New Roman" w:hAnsi="Calibri" w:cs="Calibri"/>
                <w:color w:val="9C6500"/>
              </w:rPr>
              <w:t>Suradnja na području nastave, istraživanja, znanosti, obrazovanja i kulture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AF1891" w:rsidRPr="00C13AEE" w:rsidRDefault="00AF1891" w:rsidP="00323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1155"/>
        </w:trPr>
        <w:tc>
          <w:tcPr>
            <w:tcW w:w="0" w:type="auto"/>
            <w:shd w:val="clear" w:color="000000" w:fill="DCE6F1"/>
            <w:vAlign w:val="bottom"/>
            <w:hideMark/>
          </w:tcPr>
          <w:p w:rsidR="00AF1891" w:rsidRPr="00C13AEE" w:rsidRDefault="00AF1891" w:rsidP="00323BC0">
            <w:pPr>
              <w:pStyle w:val="Heading2"/>
            </w:pPr>
            <w:bookmarkStart w:id="46" w:name="RANGE!B71"/>
            <w:bookmarkStart w:id="47" w:name="_Toc385207284"/>
            <w:r w:rsidRPr="00C13AEE">
              <w:t>Međunarodna suradnja sa financijskim institucijama</w:t>
            </w:r>
            <w:bookmarkEnd w:id="46"/>
            <w:bookmarkEnd w:id="47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600"/>
        </w:trPr>
        <w:tc>
          <w:tcPr>
            <w:tcW w:w="0" w:type="auto"/>
            <w:shd w:val="clear" w:color="auto" w:fill="auto"/>
            <w:vAlign w:val="bottom"/>
            <w:hideMark/>
          </w:tcPr>
          <w:p w:rsidR="00AF1891" w:rsidRPr="00C13AEE" w:rsidRDefault="00AF1891" w:rsidP="00323BC0">
            <w:pPr>
              <w:pStyle w:val="Heading3"/>
            </w:pPr>
            <w:bookmarkStart w:id="48" w:name="RANGE!B72"/>
            <w:r w:rsidRPr="00C13AEE">
              <w:t>WBIF (Western Balkan Investment Framework)</w:t>
            </w:r>
            <w:bookmarkEnd w:id="48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TVZ kampus Borongaj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pStyle w:val="Heading3"/>
            </w:pPr>
            <w:r w:rsidRPr="00C13AEE">
              <w:t>EU (putem MZOS)</w:t>
            </w:r>
          </w:p>
        </w:tc>
        <w:tc>
          <w:tcPr>
            <w:tcW w:w="0" w:type="auto"/>
            <w:shd w:val="clear" w:color="000000" w:fill="FFEB9C"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9C6500"/>
              </w:rPr>
            </w:pPr>
            <w:r w:rsidRPr="00C13AEE">
              <w:rPr>
                <w:rFonts w:ascii="Calibri" w:eastAsia="Times New Roman" w:hAnsi="Calibri" w:cs="Calibri"/>
                <w:color w:val="9C6500"/>
              </w:rPr>
              <w:t>Prijedlozi projekata za financiranje iz sredstava EU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600"/>
        </w:trPr>
        <w:tc>
          <w:tcPr>
            <w:tcW w:w="0" w:type="auto"/>
            <w:shd w:val="clear" w:color="000000" w:fill="DCE6F1"/>
            <w:vAlign w:val="bottom"/>
            <w:hideMark/>
          </w:tcPr>
          <w:p w:rsidR="00AF1891" w:rsidRPr="00C13AEE" w:rsidRDefault="00AF1891" w:rsidP="00323BC0">
            <w:pPr>
              <w:pStyle w:val="Heading2"/>
            </w:pPr>
            <w:bookmarkStart w:id="49" w:name="_Toc385207285"/>
            <w:r w:rsidRPr="00C13AEE">
              <w:t>Izvođenje nastave na engleskom jeziku</w:t>
            </w:r>
            <w:bookmarkEnd w:id="49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Cjeloviti studij na engleskom jeziku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F1891" w:rsidRPr="00C13AEE" w:rsidTr="00AF189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000000" w:fill="FFEB9C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rPr>
                <w:rFonts w:ascii="Calibri" w:eastAsia="Times New Roman" w:hAnsi="Calibri" w:cs="Calibri"/>
                <w:color w:val="9C6500"/>
              </w:rPr>
            </w:pPr>
            <w:r w:rsidRPr="00C13AEE">
              <w:rPr>
                <w:rFonts w:ascii="Calibri" w:eastAsia="Times New Roman" w:hAnsi="Calibri" w:cs="Calibri"/>
                <w:color w:val="9C6500"/>
              </w:rPr>
              <w:t>Kolegiji na engleskom jeziku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F1891" w:rsidRPr="00C13AEE" w:rsidRDefault="00AF1891" w:rsidP="00323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3AE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</w:tbl>
    <w:p w:rsidR="00AF1891" w:rsidRPr="00EE125E" w:rsidRDefault="00AF1891">
      <w:pPr>
        <w:rPr>
          <w:rFonts w:ascii="Times New Roman" w:hAnsi="Times New Roman" w:cs="Times New Roman"/>
        </w:rPr>
      </w:pPr>
    </w:p>
    <w:sectPr w:rsidR="00AF1891" w:rsidRPr="00EE125E" w:rsidSect="00EE125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53E" w:rsidRDefault="00F6053E" w:rsidP="007751AF">
      <w:pPr>
        <w:spacing w:after="0" w:line="240" w:lineRule="auto"/>
      </w:pPr>
      <w:r>
        <w:separator/>
      </w:r>
    </w:p>
  </w:endnote>
  <w:endnote w:type="continuationSeparator" w:id="0">
    <w:p w:rsidR="00F6053E" w:rsidRDefault="00F6053E" w:rsidP="0077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C0" w:rsidRPr="0094358B" w:rsidRDefault="00323BC0">
    <w:pPr>
      <w:pStyle w:val="Footer"/>
      <w:rPr>
        <w:sz w:val="20"/>
      </w:rPr>
    </w:pPr>
    <w:r w:rsidRPr="0094358B">
      <w:rPr>
        <w:sz w:val="20"/>
      </w:rPr>
      <w:t>Travanj 2014</w:t>
    </w:r>
    <w:r w:rsidRPr="0094358B">
      <w:rPr>
        <w:sz w:val="20"/>
      </w:rPr>
      <w:ptab w:relativeTo="margin" w:alignment="center" w:leader="none"/>
    </w:r>
    <w:r w:rsidRPr="0094358B">
      <w:rPr>
        <w:sz w:val="20"/>
      </w:rPr>
      <w:ptab w:relativeTo="margin" w:alignment="right" w:leader="none"/>
    </w:r>
    <w:r w:rsidRPr="0094358B">
      <w:rPr>
        <w:sz w:val="20"/>
      </w:rPr>
      <w:fldChar w:fldCharType="begin"/>
    </w:r>
    <w:r w:rsidRPr="0094358B">
      <w:rPr>
        <w:sz w:val="20"/>
      </w:rPr>
      <w:instrText xml:space="preserve"> PAGE   \* MERGEFORMAT </w:instrText>
    </w:r>
    <w:r w:rsidRPr="0094358B">
      <w:rPr>
        <w:sz w:val="20"/>
      </w:rPr>
      <w:fldChar w:fldCharType="separate"/>
    </w:r>
    <w:r w:rsidR="00771F5F">
      <w:rPr>
        <w:noProof/>
        <w:sz w:val="20"/>
      </w:rPr>
      <w:t>4</w:t>
    </w:r>
    <w:r w:rsidRPr="0094358B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53E" w:rsidRDefault="00F6053E" w:rsidP="007751AF">
      <w:pPr>
        <w:spacing w:after="0" w:line="240" w:lineRule="auto"/>
      </w:pPr>
      <w:r>
        <w:separator/>
      </w:r>
    </w:p>
  </w:footnote>
  <w:footnote w:type="continuationSeparator" w:id="0">
    <w:p w:rsidR="00F6053E" w:rsidRDefault="00F6053E" w:rsidP="0077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C0" w:rsidRDefault="00323BC0">
    <w:pPr>
      <w:pStyle w:val="Header"/>
    </w:pPr>
    <w:r>
      <w:t>TEHNIČKO VELEUČILIŠTE U ZAGREBU</w:t>
    </w:r>
  </w:p>
  <w:p w:rsidR="00323BC0" w:rsidRDefault="00323BC0" w:rsidP="007751AF">
    <w:pPr>
      <w:pStyle w:val="Header"/>
      <w:jc w:val="center"/>
    </w:pPr>
    <w:r>
      <w:t>Dugoročna razvojna strategije Tehničkog veleučilište u Zagrebu 2014-2025</w:t>
    </w:r>
  </w:p>
  <w:p w:rsidR="00323BC0" w:rsidRDefault="00323BC0" w:rsidP="007751AF">
    <w:pPr>
      <w:pStyle w:val="Header"/>
      <w:jc w:val="center"/>
    </w:pPr>
    <w:r>
      <w:t>REKAPITULACIJA CILJEVA (programski ugovor MZOS i TVZ, dugoročna razvojna strategija TVZ 2014-2015, strategija međunarodne suradnje)</w:t>
    </w:r>
  </w:p>
  <w:p w:rsidR="00323BC0" w:rsidRDefault="00323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5E"/>
    <w:rsid w:val="00036E0D"/>
    <w:rsid w:val="00323BC0"/>
    <w:rsid w:val="005E1A40"/>
    <w:rsid w:val="00665BD4"/>
    <w:rsid w:val="007466E5"/>
    <w:rsid w:val="00752D27"/>
    <w:rsid w:val="0075460E"/>
    <w:rsid w:val="00771F5F"/>
    <w:rsid w:val="007751AF"/>
    <w:rsid w:val="0087290A"/>
    <w:rsid w:val="0094358B"/>
    <w:rsid w:val="009B763A"/>
    <w:rsid w:val="00AD0CAB"/>
    <w:rsid w:val="00AF1891"/>
    <w:rsid w:val="00B92654"/>
    <w:rsid w:val="00CD11D7"/>
    <w:rsid w:val="00D6124A"/>
    <w:rsid w:val="00E31793"/>
    <w:rsid w:val="00E36686"/>
    <w:rsid w:val="00EE125E"/>
    <w:rsid w:val="00F6053E"/>
    <w:rsid w:val="00F7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3E76C-D594-4086-8D4A-975D9C7A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793"/>
    <w:pPr>
      <w:keepNext/>
      <w:keepLines/>
      <w:spacing w:before="240" w:after="0" w:line="240" w:lineRule="auto"/>
      <w:outlineLvl w:val="0"/>
    </w:pPr>
    <w:rPr>
      <w:rFonts w:asciiTheme="majorHAnsi" w:eastAsia="Times New Roman" w:hAnsiTheme="majorHAnsi" w:cstheme="majorBidi"/>
      <w:b/>
      <w:color w:val="2E74B5" w:themeColor="accent1" w:themeShade="BF"/>
      <w:sz w:val="24"/>
      <w:szCs w:val="32"/>
      <w:lang w:eastAsia="hr-HR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31793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3BC0"/>
    <w:pPr>
      <w:keepNext/>
      <w:keepLines/>
      <w:spacing w:before="40" w:after="0" w:line="240" w:lineRule="auto"/>
      <w:outlineLvl w:val="2"/>
    </w:pPr>
    <w:rPr>
      <w:rFonts w:ascii="Times New Roman" w:eastAsia="Times New Roman" w:hAnsi="Times New Roman" w:cs="Times New Roman"/>
      <w:color w:val="1F4D78" w:themeColor="accent1" w:themeShade="7F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EE12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751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1AF"/>
  </w:style>
  <w:style w:type="paragraph" w:styleId="Footer">
    <w:name w:val="footer"/>
    <w:basedOn w:val="Normal"/>
    <w:link w:val="FooterChar"/>
    <w:uiPriority w:val="99"/>
    <w:unhideWhenUsed/>
    <w:rsid w:val="007751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1AF"/>
  </w:style>
  <w:style w:type="character" w:customStyle="1" w:styleId="Heading1Char">
    <w:name w:val="Heading 1 Char"/>
    <w:basedOn w:val="DefaultParagraphFont"/>
    <w:link w:val="Heading1"/>
    <w:uiPriority w:val="9"/>
    <w:rsid w:val="00E31793"/>
    <w:rPr>
      <w:rFonts w:asciiTheme="majorHAnsi" w:eastAsia="Times New Roman" w:hAnsiTheme="majorHAnsi" w:cstheme="majorBidi"/>
      <w:b/>
      <w:color w:val="2E74B5" w:themeColor="accent1" w:themeShade="BF"/>
      <w:sz w:val="24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E31793"/>
    <w:rPr>
      <w:rFonts w:asciiTheme="majorHAnsi" w:eastAsia="Times New Roman" w:hAnsiTheme="majorHAnsi" w:cstheme="majorBidi"/>
      <w:b/>
      <w:color w:val="2E74B5" w:themeColor="accent1" w:themeShade="BF"/>
      <w:sz w:val="24"/>
      <w:szCs w:val="32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E31793"/>
    <w:pPr>
      <w:spacing w:line="259" w:lineRule="auto"/>
      <w:outlineLvl w:val="9"/>
    </w:pPr>
    <w:rPr>
      <w:rFonts w:eastAsiaTheme="majorEastAsia"/>
      <w:b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3179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179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31793"/>
    <w:pPr>
      <w:spacing w:after="100"/>
      <w:ind w:left="440"/>
    </w:pPr>
    <w:rPr>
      <w:rFonts w:eastAsiaTheme="minorEastAsia"/>
      <w:lang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E31793"/>
    <w:pPr>
      <w:spacing w:after="100"/>
      <w:ind w:left="660"/>
    </w:pPr>
    <w:rPr>
      <w:rFonts w:eastAsiaTheme="minorEastAsia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E31793"/>
    <w:pPr>
      <w:spacing w:after="100"/>
      <w:ind w:left="880"/>
    </w:pPr>
    <w:rPr>
      <w:rFonts w:eastAsiaTheme="minorEastAsia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E31793"/>
    <w:pPr>
      <w:spacing w:after="100"/>
      <w:ind w:left="1100"/>
    </w:pPr>
    <w:rPr>
      <w:rFonts w:eastAsiaTheme="minorEastAsia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E31793"/>
    <w:pPr>
      <w:spacing w:after="100"/>
      <w:ind w:left="1320"/>
    </w:pPr>
    <w:rPr>
      <w:rFonts w:eastAsiaTheme="minorEastAsia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E31793"/>
    <w:pPr>
      <w:spacing w:after="100"/>
      <w:ind w:left="1540"/>
    </w:pPr>
    <w:rPr>
      <w:rFonts w:eastAsiaTheme="minorEastAsia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E31793"/>
    <w:pPr>
      <w:spacing w:after="100"/>
      <w:ind w:left="1760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E3179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3BC0"/>
    <w:rPr>
      <w:rFonts w:ascii="Times New Roman" w:eastAsia="Times New Roman" w:hAnsi="Times New Roman" w:cs="Times New Roman"/>
      <w:color w:val="1F4D78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rdis.europa.eu/fp7/people/home_en.html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50BE6A2332E49B63857CE3B3B0783" ma:contentTypeVersion="17" ma:contentTypeDescription="Create a new document." ma:contentTypeScope="" ma:versionID="c902e2a82908dd0b4495e19644f30ca8">
  <xsd:schema xmlns:xsd="http://www.w3.org/2001/XMLSchema" xmlns:xs="http://www.w3.org/2001/XMLSchema" xmlns:p="http://schemas.microsoft.com/office/2006/metadata/properties" xmlns:ns2="ec7422f2-9c8e-42d9-ae70-bf60dbf758ea" xmlns:ns3="12c6ef67-a51e-42fb-bc0b-7d12875cffcd" targetNamespace="http://schemas.microsoft.com/office/2006/metadata/properties" ma:root="true" ma:fieldsID="71cfc65bacc44e1bff42949cba63aa48" ns2:_="" ns3:_="">
    <xsd:import namespace="ec7422f2-9c8e-42d9-ae70-bf60dbf758ea"/>
    <xsd:import namespace="12c6ef67-a51e-42fb-bc0b-7d12875cffcd"/>
    <xsd:element name="properties">
      <xsd:complexType>
        <xsd:sequence>
          <xsd:element name="documentManagement">
            <xsd:complexType>
              <xsd:all>
                <xsd:element ref="ns2:Oznaka"/>
                <xsd:element ref="ns2:Status"/>
                <xsd:element ref="ns2:Po_x010d_etak_x0020_primjene" minOccurs="0"/>
                <xsd:element ref="ns2:Vrsta" minOccurs="0"/>
                <xsd:element ref="ns2:Proces" minOccurs="0"/>
                <xsd:element ref="ns2:Rok_x010d_uvanjadokumenata" minOccurs="0"/>
                <xsd:element ref="ns2:Kategorija" minOccurs="0"/>
                <xsd:element ref="ns2:Rok_x010d_uvanja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22f2-9c8e-42d9-ae70-bf60dbf758ea" elementFormDefault="qualified">
    <xsd:import namespace="http://schemas.microsoft.com/office/2006/documentManagement/types"/>
    <xsd:import namespace="http://schemas.microsoft.com/office/infopath/2007/PartnerControls"/>
    <xsd:element name="Oznaka" ma:index="1" ma:displayName="Oznaka" ma:description="Programsko financiranje" ma:format="Dropdown" ma:internalName="Oznaka" ma:readOnly="false">
      <xsd:simpleType>
        <xsd:restriction base="dms:Text">
          <xsd:maxLength value="15"/>
        </xsd:restriction>
      </xsd:simpleType>
    </xsd:element>
    <xsd:element name="Status" ma:index="3" ma:displayName="Status" ma:default="Revidirana verzija" ma:description="Status dokumenta." ma:format="Dropdown" ma:internalName="Status" ma:readOnly="false">
      <xsd:simpleType>
        <xsd:restriction base="dms:Choice">
          <xsd:enumeration value="Radna verzija"/>
          <xsd:enumeration value="Važeća dokumentacija"/>
          <xsd:enumeration value="Arhiva"/>
          <xsd:enumeration value="Arhiva (prva verzija)"/>
          <xsd:enumeration value="Revidirana verzija"/>
        </xsd:restriction>
      </xsd:simpleType>
    </xsd:element>
    <xsd:element name="Po_x010d_etak_x0020_primjene" ma:index="4" nillable="true" ma:displayName="Početak primjene" ma:format="DateOnly" ma:internalName="Po_x010d_etak_x0020_primjene" ma:readOnly="false">
      <xsd:simpleType>
        <xsd:restriction base="dms:DateTime"/>
      </xsd:simpleType>
    </xsd:element>
    <xsd:element name="Vrsta" ma:index="5" nillable="true" ma:displayName="Vrsta" ma:description="Vrsta dokumenta." ma:format="Dropdown" ma:internalName="Vrsta">
      <xsd:simpleType>
        <xsd:restriction base="dms:Choice">
          <xsd:enumeration value="Ciljevi"/>
          <xsd:enumeration value="Dokumentacija vanjskog izvora"/>
          <xsd:enumeration value="ION"/>
          <xsd:enumeration value="Izvješće"/>
          <xsd:enumeration value="Izvješće o provedbi programskog ugovora"/>
          <xsd:enumeration value="Izvješće o provedbi strategije"/>
          <xsd:enumeration value="Izvješće o realizaciji Akcijskog plana"/>
          <xsd:enumeration value="Izvješće unutarnje prosudbe (IUP)"/>
          <xsd:enumeration value="Izvješće ureda za kvalitetu (IUK)"/>
          <xsd:enumeration value="Izvješće vanjske prosudbe (IVP)"/>
          <xsd:enumeration value="Kodeks"/>
          <xsd:enumeration value="Kontekst"/>
          <xsd:enumeration value="Obrazac"/>
          <xsd:enumeration value="Plan"/>
          <xsd:enumeration value="Politika"/>
          <xsd:enumeration value="Poslovnik"/>
          <xsd:enumeration value="Postupnik"/>
          <xsd:enumeration value="Pravilnik"/>
          <xsd:enumeration value="Priručnik"/>
          <xsd:enumeration value="Proces"/>
          <xsd:enumeration value="Program"/>
          <xsd:enumeration value="Programsko financiranje"/>
          <xsd:enumeration value="Radna uputa"/>
          <xsd:enumeration value="Samoanaliza"/>
          <xsd:enumeration value="Standard/norma"/>
          <xsd:enumeration value="Standardni operativni postupak"/>
          <xsd:enumeration value="Statut"/>
          <xsd:enumeration value="Strategija"/>
          <xsd:enumeration value="Upravina ocjena"/>
          <xsd:enumeration value="Zapis"/>
          <xsd:enumeration value="Zapisnik"/>
        </xsd:restriction>
      </xsd:simpleType>
    </xsd:element>
    <xsd:element name="Proces" ma:index="6" nillable="true" ma:displayName="Proces" ma:format="Dropdown" ma:internalName="Proces" ma:readOnly="false">
      <xsd:simpleType>
        <xsd:restriction base="dms:Choice">
          <xsd:enumeration value="Upravljačka prava, obveze i odgovornosti"/>
          <xsd:enumeration value="Upravljanje kvalitetom"/>
          <xsd:enumeration value="Upravljanje resursima"/>
          <xsd:enumeration value="Nastava"/>
          <xsd:enumeration value="Znanstvena i stručna djelatnost"/>
          <xsd:enumeration value="Pravna podrška"/>
          <xsd:enumeration value="Računovodstvo i financije"/>
          <xsd:enumeration value="Informatička podrška"/>
          <xsd:enumeration value="Nabava"/>
          <xsd:enumeration value="Administrativno-stručna podrška"/>
          <xsd:enumeration value="Marketing"/>
        </xsd:restriction>
      </xsd:simpleType>
    </xsd:element>
    <xsd:element name="Rok_x010d_uvanjadokumenata" ma:index="7" nillable="true" ma:displayName="Rok čuvanja dokumenata" ma:description="Prema Posebnom popisu arhivskog i registraturnog gradiva s rokovima čuvanja" ma:format="Dropdown" ma:hidden="true" ma:internalName="Rok_x010d_uvanjadokumenata" ma:readOnly="false">
      <xsd:simpleType>
        <xsd:restriction base="dms:Choice">
          <xsd:enumeration value="Tumač korištenih oznaka"/>
          <xsd:enumeration value="N = Rok čuvanja računa se od isteka godine u kojoj je dokumentacija nastala."/>
          <xsd:enumeration value="Z = Rok čuvanja računa se od isteka godine u kojoj je spis zaključen, odnosno u kojoj je dokument (ugovor, odluka, pravilnik i sl.) prestao važiti ili je zamijenjen drugim odgovarajućim dokumentom."/>
          <xsd:enumeration value="DI = Djelomično odabrati i izlučiti. Po isteku roka čuvanja odabire se dio dokumentacije za  čuvanje, prema uputama HDA. U pravilu se radi o slučajevima gdje se među istovrsnim predmetima i dokumentima mogu naći i oni koji se odnose na značajnije događaje, odluke, stvari ili osobe te ih se zbog toga odabire za  čuvanje."/>
          <xsd:enumeration value="I = Izlučiti. Po isteku roka dokumentacija se može izlučiti u cjelini, uz pribavljeno odobrenje HDA."/>
          <xsd:enumeration value="T =  Trajno čuvati. Dokumentacija se u cjelini odabire za  čuvanje."/>
        </xsd:restriction>
      </xsd:simpleType>
    </xsd:element>
    <xsd:element name="Kategorija" ma:index="8" nillable="true" ma:displayName="Kategorija" ma:description="Vrsta vrednovanja.&#10;&#10;&#10;&#10;" ma:format="Dropdown" ma:internalName="Kategorija">
      <xsd:simpleType>
        <xsd:restriction base="dms:Choice">
          <xsd:enumeration value="Akreditacija AZVO"/>
          <xsd:enumeration value="ISO 9001:2008"/>
          <xsd:enumeration value="ISO 9001:2015"/>
          <xsd:enumeration value="Programski ugovor 2023."/>
          <xsd:enumeration value="Reakreditacija 2012."/>
          <xsd:enumeration value="Reakreditacija 2020."/>
          <xsd:enumeration value="Reakreditacija 2025."/>
          <xsd:enumeration value="Unutarnja prosudba"/>
        </xsd:restriction>
      </xsd:simpleType>
    </xsd:element>
    <xsd:element name="Rok_x010d_uvanja" ma:index="9" nillable="true" ma:displayName="Rok čuvanja" ma:format="Dropdown" ma:hidden="true" ma:internalName="Rok_x010d_uvanja" ma:readOnly="false">
      <xsd:simpleType>
        <xsd:restriction base="dms:Choice">
          <xsd:enumeration value="Tumač oznaka"/>
          <xsd:enumeration value="N = Rok čuvanja računa se od isteka godine u kojoj je dokumentacija nastala."/>
          <xsd:enumeration value="Z = Rok čuvanja računa se od isteka godine u kojoj je spis zaključen, odnosno u kojoj je dokument (ugovor, odluka, pravilnik i sl.) prestao važiti ili je zamijenjen drugim odgovarajućim dokumentom."/>
          <xsd:enumeration value="DI = Djelomično odabrati i izlučiti. Po isteku roka čuvanja odabire se dio dokumentacije za  čuvanje, prema uputama HDA."/>
          <xsd:enumeration value="I = Izlučiti. Po isteku roka dokumentacija se može izlučiti u cjelini, uz pribavljeno odobrenje HDA."/>
          <xsd:enumeration value="T =  Trajno čuvati. Dokumentacija se u cjelini odabire za  čuvanje."/>
          <xsd:enumeration value="N+5"/>
          <xsd:enumeration value="N+10"/>
          <xsd:enumeration value="Z+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6ef67-a51e-42fb-bc0b-7d12875cf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ec7422f2-9c8e-42d9-ae70-bf60dbf758ea">Arhiva</Status>
    <Oznaka xmlns="ec7422f2-9c8e-42d9-ae70-bf60dbf758ea">CLJ-01-01</Oznaka>
    <Po_x010d_etak_x0020_primjene xmlns="ec7422f2-9c8e-42d9-ae70-bf60dbf758ea">2014-05-07T22:00:00+00:00</Po_x010d_etak_x0020_primjene>
    <Proces xmlns="ec7422f2-9c8e-42d9-ae70-bf60dbf758ea">Upravljačka prava, obveze i odgovornosti</Proces>
    <Vrsta xmlns="ec7422f2-9c8e-42d9-ae70-bf60dbf758ea">Ciljevi</Vrsta>
    <Rok_x010d_uvanjadokumenata xmlns="ec7422f2-9c8e-42d9-ae70-bf60dbf758ea" xsi:nil="true"/>
    <Rok_x010d_uvanja xmlns="ec7422f2-9c8e-42d9-ae70-bf60dbf758ea" xsi:nil="true"/>
    <Kategorija xmlns="ec7422f2-9c8e-42d9-ae70-bf60dbf758ea" xsi:nil="true"/>
  </documentManagement>
</p:properties>
</file>

<file path=customXml/itemProps1.xml><?xml version="1.0" encoding="utf-8"?>
<ds:datastoreItem xmlns:ds="http://schemas.openxmlformats.org/officeDocument/2006/customXml" ds:itemID="{62C32A3D-8D62-4F4B-938C-0703228A8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B60EE-51F3-440A-9578-671298A7071A}"/>
</file>

<file path=customXml/itemProps3.xml><?xml version="1.0" encoding="utf-8"?>
<ds:datastoreItem xmlns:ds="http://schemas.openxmlformats.org/officeDocument/2006/customXml" ds:itemID="{D0BB25C5-815A-461F-BF20-78F0D2DD031C}"/>
</file>

<file path=customXml/itemProps4.xml><?xml version="1.0" encoding="utf-8"?>
<ds:datastoreItem xmlns:ds="http://schemas.openxmlformats.org/officeDocument/2006/customXml" ds:itemID="{D2D97C26-00CE-4EF1-AAA9-82FF08A2B0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3210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Strateški ciljevi TVZ-a 2014-2025</dc:title>
  <dc:subject/>
  <dc:creator>Mladen Mauher</dc:creator>
  <cp:keywords/>
  <dc:description/>
  <cp:lastModifiedBy>Mladen Mauher</cp:lastModifiedBy>
  <cp:revision>11</cp:revision>
  <dcterms:created xsi:type="dcterms:W3CDTF">2014-04-13T18:34:00Z</dcterms:created>
  <dcterms:modified xsi:type="dcterms:W3CDTF">2014-04-14T00:53:00Z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0x010100CF150BE6A2332E49B63857CE3B3B0783</vt:lpwstr>
  </property>
</Properties>
</file>