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3007" w14:textId="1691ACD6" w:rsidR="006B0D6C" w:rsidRDefault="0028530A" w:rsidP="006B0D6C">
      <w:pPr>
        <w:rPr>
          <w:rFonts w:ascii="Aptos" w:hAnsi="Aptos"/>
          <w:sz w:val="32"/>
          <w:szCs w:val="32"/>
        </w:rPr>
      </w:pPr>
      <w:r>
        <w:t>Na temelju č</w:t>
      </w:r>
      <w:r w:rsidRPr="0028530A">
        <w:t>lank</w:t>
      </w:r>
      <w:r>
        <w:t>a</w:t>
      </w:r>
      <w:r w:rsidRPr="0028530A">
        <w:t xml:space="preserve"> 2.</w:t>
      </w:r>
      <w:r>
        <w:t xml:space="preserve"> </w:t>
      </w:r>
      <w:r w:rsidR="00C7319F">
        <w:t xml:space="preserve">i članka 3. </w:t>
      </w:r>
      <w:r w:rsidRPr="0028530A">
        <w:t>Zakon</w:t>
      </w:r>
      <w:r>
        <w:t>a</w:t>
      </w:r>
      <w:r w:rsidRPr="0028530A">
        <w:t xml:space="preserve"> o osiguravanju kvalitete u visokom obrazovanju i znanosti </w:t>
      </w:r>
      <w:r w:rsidR="00A470E3">
        <w:t>(</w:t>
      </w:r>
      <w:r w:rsidRPr="0028530A">
        <w:t>NN 151/2022</w:t>
      </w:r>
      <w:r w:rsidR="00A470E3">
        <w:t xml:space="preserve">) od </w:t>
      </w:r>
      <w:r w:rsidRPr="0028530A">
        <w:t>22.12.2022., Statut</w:t>
      </w:r>
      <w:r>
        <w:t>a</w:t>
      </w:r>
      <w:r w:rsidRPr="0028530A">
        <w:t xml:space="preserve"> TVZ-a od lipnja 2023. godine</w:t>
      </w:r>
      <w:r w:rsidR="00C7319F">
        <w:t xml:space="preserve">, </w:t>
      </w:r>
      <w:r w:rsidR="005A0053" w:rsidRPr="005A0053">
        <w:t xml:space="preserve">Pravilnika o unutarnjem ustrojstvu i ustrojstvu radnih mjesta od listopada 2023. godine i </w:t>
      </w:r>
      <w:r w:rsidR="005A0053">
        <w:t>O</w:t>
      </w:r>
      <w:r w:rsidR="005A0053" w:rsidRPr="005A0053">
        <w:t>dluke Upravnog vijeća od 5. siječnja 2024. godine</w:t>
      </w:r>
      <w:r w:rsidR="005A0053">
        <w:t>,</w:t>
      </w:r>
      <w:r w:rsidR="005A0053" w:rsidRPr="005A0053">
        <w:t xml:space="preserve"> </w:t>
      </w:r>
      <w:r w:rsidR="00C7319F" w:rsidRPr="00C7319F">
        <w:t xml:space="preserve">Vijeće Veleučilišta </w:t>
      </w:r>
      <w:r w:rsidR="006B0D6C" w:rsidRPr="00CA0563">
        <w:t xml:space="preserve">na </w:t>
      </w:r>
      <w:bookmarkStart w:id="0" w:name="_Hlk160785097"/>
      <w:r w:rsidR="00504910">
        <w:t>6</w:t>
      </w:r>
      <w:r w:rsidR="006B0D6C" w:rsidRPr="00CA0563">
        <w:t>. redovitoj sjednici u ak</w:t>
      </w:r>
      <w:r w:rsidR="00711B3B">
        <w:t>ademskoj</w:t>
      </w:r>
      <w:r w:rsidR="006B0D6C" w:rsidRPr="00CA0563">
        <w:t xml:space="preserve"> god</w:t>
      </w:r>
      <w:r w:rsidR="00711B3B">
        <w:t>ini</w:t>
      </w:r>
      <w:r w:rsidR="006B0D6C" w:rsidRPr="00CA0563">
        <w:t xml:space="preserve"> 2023./2024. održanoj dana </w:t>
      </w:r>
      <w:r w:rsidR="00504910">
        <w:t>19. ožujka</w:t>
      </w:r>
      <w:r w:rsidR="006B0D6C" w:rsidRPr="00CA0563">
        <w:t xml:space="preserve"> 2024.</w:t>
      </w:r>
      <w:r w:rsidR="006B0D6C" w:rsidRPr="006B0D6C">
        <w:t xml:space="preserve"> donosi</w:t>
      </w:r>
      <w:bookmarkEnd w:id="0"/>
    </w:p>
    <w:p w14:paraId="1E75EFEE" w14:textId="77777777" w:rsidR="00086455" w:rsidRDefault="00086455" w:rsidP="00C7319F">
      <w:pPr>
        <w:jc w:val="center"/>
        <w:rPr>
          <w:rFonts w:ascii="Aptos" w:hAnsi="Aptos"/>
          <w:sz w:val="32"/>
          <w:szCs w:val="32"/>
        </w:rPr>
      </w:pPr>
    </w:p>
    <w:p w14:paraId="27A4E201" w14:textId="125D403C" w:rsidR="00D47FCB" w:rsidRPr="00E44BEC" w:rsidRDefault="001E6788" w:rsidP="00C7319F">
      <w:pPr>
        <w:jc w:val="center"/>
        <w:rPr>
          <w:rFonts w:ascii="Aptos" w:hAnsi="Aptos"/>
          <w:sz w:val="32"/>
          <w:szCs w:val="32"/>
        </w:rPr>
      </w:pPr>
      <w:r w:rsidRPr="00E44BEC">
        <w:rPr>
          <w:rFonts w:ascii="Aptos" w:hAnsi="Aptos"/>
          <w:sz w:val="32"/>
          <w:szCs w:val="32"/>
        </w:rPr>
        <w:t>Pravilnik o unutarnjoj prosudbi</w:t>
      </w:r>
    </w:p>
    <w:p w14:paraId="54716D98" w14:textId="77777777" w:rsidR="003F20D2" w:rsidRDefault="003F20D2" w:rsidP="0028530A"/>
    <w:p w14:paraId="641C4A29" w14:textId="658BD78A" w:rsidR="001E6788" w:rsidRPr="004D168E" w:rsidRDefault="001E6788" w:rsidP="004D168E">
      <w:pPr>
        <w:pStyle w:val="Naslov2"/>
        <w:rPr>
          <w:rFonts w:eastAsia="Calibri Light"/>
          <w:b w:val="0"/>
        </w:rPr>
      </w:pPr>
      <w:r w:rsidRPr="004D168E">
        <w:rPr>
          <w:rFonts w:eastAsia="Calibri Light"/>
        </w:rPr>
        <w:t>Svrha</w:t>
      </w:r>
      <w:r w:rsidR="00255C7D">
        <w:rPr>
          <w:rFonts w:eastAsia="Calibri Light"/>
        </w:rPr>
        <w:t xml:space="preserve"> i cilj</w:t>
      </w:r>
    </w:p>
    <w:p w14:paraId="54A5D00F" w14:textId="26AF868E" w:rsidR="00A470E3" w:rsidRPr="00A470E3" w:rsidRDefault="00A470E3" w:rsidP="00F26E78">
      <w:pPr>
        <w:pStyle w:val="Podnaslov"/>
        <w:rPr>
          <w:rFonts w:eastAsia="Calibri Light"/>
        </w:rPr>
      </w:pPr>
      <w:r w:rsidRPr="00F37439">
        <w:t>Članak</w:t>
      </w:r>
      <w:r w:rsidRPr="00A470E3">
        <w:rPr>
          <w:rFonts w:eastAsia="Calibri Light"/>
        </w:rPr>
        <w:t xml:space="preserve"> 1.</w:t>
      </w:r>
    </w:p>
    <w:p w14:paraId="2C55E65B" w14:textId="77777777" w:rsidR="001E6788" w:rsidRPr="001E6788" w:rsidRDefault="001E6788" w:rsidP="005B1662">
      <w:r w:rsidRPr="001E6788">
        <w:t xml:space="preserve">Svrha ovog postupka je opisati procese planiranja, pripreme, provedbe i dokumentiranja unutarnje prosudbe (engl. </w:t>
      </w:r>
      <w:r w:rsidRPr="001E6788">
        <w:rPr>
          <w:i/>
        </w:rPr>
        <w:t>internal audit</w:t>
      </w:r>
      <w:r w:rsidRPr="001E6788">
        <w:t>) sustava osiguravanja i unaprjeđivanja kvalitete na TVZ-u (QTVZ).</w:t>
      </w:r>
    </w:p>
    <w:p w14:paraId="7672F444" w14:textId="7E0C36DD" w:rsidR="001E6788" w:rsidRPr="0073602D" w:rsidRDefault="001E6788" w:rsidP="0028530A">
      <w:r w:rsidRPr="001E6788">
        <w:t>Cilj unutarnje prosudbe je vrednovanje i usklađivanje sustava unutarnjeg osiguravanja i unaprjeđivanja kvalitete</w:t>
      </w:r>
      <w:r w:rsidRPr="001E6788" w:rsidDel="0092466E">
        <w:t xml:space="preserve"> </w:t>
      </w:r>
      <w:r w:rsidRPr="001E6788">
        <w:t xml:space="preserve">na TVZ-u sukladno normi ISO </w:t>
      </w:r>
      <w:r w:rsidRPr="0073602D">
        <w:t>9001 (</w:t>
      </w:r>
      <w:r w:rsidRPr="0073602D">
        <w:rPr>
          <w:i/>
        </w:rPr>
        <w:t>DVI-11</w:t>
      </w:r>
      <w:r w:rsidRPr="0073602D">
        <w:t>)</w:t>
      </w:r>
      <w:r w:rsidR="00255C7D">
        <w:t>,</w:t>
      </w:r>
      <w:r w:rsidRPr="0073602D">
        <w:t xml:space="preserve"> Standardima i smjernicama za osiguravanje kvalitete na Europskom prostoru visokog obrazovanja (ESG standardi: </w:t>
      </w:r>
      <w:r w:rsidRPr="0073602D">
        <w:rPr>
          <w:i/>
        </w:rPr>
        <w:t>DVI-10</w:t>
      </w:r>
      <w:r w:rsidR="00255C7D">
        <w:t xml:space="preserve"> i</w:t>
      </w:r>
      <w:r w:rsidRPr="0073602D">
        <w:t xml:space="preserve"> </w:t>
      </w:r>
      <w:r w:rsidRPr="0073602D">
        <w:rPr>
          <w:i/>
        </w:rPr>
        <w:t>DVI-12</w:t>
      </w:r>
      <w:r w:rsidRPr="0073602D">
        <w:t>)</w:t>
      </w:r>
      <w:r w:rsidR="00255C7D">
        <w:t xml:space="preserve"> </w:t>
      </w:r>
      <w:r w:rsidR="00255C7D" w:rsidRPr="00255C7D">
        <w:t>te dokumentacij</w:t>
      </w:r>
      <w:r w:rsidR="00255C7D">
        <w:t>om</w:t>
      </w:r>
      <w:r w:rsidR="00255C7D" w:rsidRPr="00255C7D">
        <w:t xml:space="preserve"> sustava upravljanja kvalitetom na TVZ-u (QTVZ)</w:t>
      </w:r>
      <w:r w:rsidRPr="0073602D">
        <w:t>.</w:t>
      </w:r>
    </w:p>
    <w:p w14:paraId="3311D249" w14:textId="77777777" w:rsidR="001E6788" w:rsidRPr="004D168E" w:rsidRDefault="001E6788" w:rsidP="004D168E">
      <w:pPr>
        <w:pStyle w:val="Naslov2"/>
        <w:rPr>
          <w:rFonts w:eastAsia="Calibri Light"/>
        </w:rPr>
      </w:pPr>
      <w:r w:rsidRPr="004D168E">
        <w:rPr>
          <w:rFonts w:eastAsia="Calibri Light"/>
        </w:rPr>
        <w:t>Područje primjene</w:t>
      </w:r>
    </w:p>
    <w:p w14:paraId="686DB74C" w14:textId="769CF84E" w:rsidR="00A470E3" w:rsidRPr="00A470E3" w:rsidRDefault="00A470E3" w:rsidP="00F26E78">
      <w:pPr>
        <w:pStyle w:val="Podnaslov"/>
        <w:rPr>
          <w:rFonts w:eastAsia="Calibri Light"/>
        </w:rPr>
      </w:pPr>
      <w:r w:rsidRPr="00F37439">
        <w:t>Članak</w:t>
      </w:r>
      <w:r w:rsidRPr="00A470E3">
        <w:rPr>
          <w:rFonts w:eastAsia="Calibri Light"/>
        </w:rPr>
        <w:t xml:space="preserve"> 2.</w:t>
      </w:r>
    </w:p>
    <w:p w14:paraId="4DBCFE7B" w14:textId="77777777" w:rsidR="001E6788" w:rsidRDefault="001E6788" w:rsidP="0028530A">
      <w:r w:rsidRPr="001E6788">
        <w:t>Postupak se primjenjuje na cijelom TVZ-u.</w:t>
      </w:r>
    </w:p>
    <w:p w14:paraId="667B84DB" w14:textId="77777777" w:rsidR="001E6788" w:rsidRPr="004D168E" w:rsidRDefault="001E6788" w:rsidP="004D168E">
      <w:pPr>
        <w:pStyle w:val="Naslov2"/>
        <w:rPr>
          <w:rFonts w:eastAsia="Calibri Light"/>
        </w:rPr>
      </w:pPr>
      <w:r w:rsidRPr="004D168E">
        <w:rPr>
          <w:rFonts w:eastAsia="Calibri Light"/>
        </w:rPr>
        <w:t>Odgovornosti</w:t>
      </w:r>
    </w:p>
    <w:p w14:paraId="4B9446AC" w14:textId="42C1A88B" w:rsidR="00A470E3" w:rsidRPr="00A470E3" w:rsidRDefault="00A470E3" w:rsidP="00F26E78">
      <w:pPr>
        <w:pStyle w:val="Podnaslov"/>
        <w:rPr>
          <w:rFonts w:eastAsia="Calibri Light"/>
        </w:rPr>
      </w:pPr>
      <w:r w:rsidRPr="00F37439">
        <w:t>Članak</w:t>
      </w:r>
      <w:r w:rsidRPr="00A470E3">
        <w:rPr>
          <w:rFonts w:eastAsia="Calibri Light"/>
        </w:rPr>
        <w:t xml:space="preserve"> 3.</w:t>
      </w:r>
    </w:p>
    <w:p w14:paraId="2BA4AD09" w14:textId="46B5DACA" w:rsidR="001E6788" w:rsidRDefault="001E6788" w:rsidP="0028530A">
      <w:r w:rsidRPr="001E6788">
        <w:t>Za primjenu ovog postupka i upravljanje unutarnjim prosudbama odgovorno je Povjerenstvo za unutarnju prosudbu sustava</w:t>
      </w:r>
      <w:r w:rsidR="00512F40" w:rsidRPr="00512F40">
        <w:t xml:space="preserve"> osiguravanja i unaprjeđivanja kvalitete</w:t>
      </w:r>
      <w:r w:rsidRPr="001E6788">
        <w:t xml:space="preserve"> (</w:t>
      </w:r>
      <w:r w:rsidRPr="00255C7D">
        <w:rPr>
          <w:i/>
          <w:iCs/>
        </w:rPr>
        <w:t>PUP</w:t>
      </w:r>
      <w:r w:rsidRPr="001E6788">
        <w:t>).</w:t>
      </w:r>
    </w:p>
    <w:p w14:paraId="31E511AA" w14:textId="07498699" w:rsidR="000D503E" w:rsidRDefault="000D503E" w:rsidP="000D503E">
      <w:r>
        <w:t>Dekan je odgovoran za imenovanje predsjednika i članova PUP-a</w:t>
      </w:r>
      <w:r w:rsidR="009763F0">
        <w:t xml:space="preserve"> prema prijedlogu </w:t>
      </w:r>
      <w:r w:rsidR="009763F0" w:rsidRPr="009763F0">
        <w:t>Prodekan</w:t>
      </w:r>
      <w:r w:rsidR="009763F0">
        <w:t>a</w:t>
      </w:r>
      <w:r w:rsidR="009763F0" w:rsidRPr="009763F0">
        <w:t xml:space="preserve"> za kontrolu kvalitete, razvoj i nove studijske programe</w:t>
      </w:r>
      <w:r w:rsidR="009763F0">
        <w:t>.</w:t>
      </w:r>
    </w:p>
    <w:p w14:paraId="1F799021" w14:textId="5DEA8CB2" w:rsidR="000D503E" w:rsidRDefault="000D503E" w:rsidP="000D503E">
      <w:r>
        <w:t xml:space="preserve">Predsjednik Povjerenstva </w:t>
      </w:r>
      <w:r w:rsidRPr="005857DF">
        <w:t>odgovoran</w:t>
      </w:r>
      <w:r w:rsidR="005857DF" w:rsidRPr="005857DF">
        <w:t xml:space="preserve"> je</w:t>
      </w:r>
      <w:r w:rsidRPr="005857DF">
        <w:t xml:space="preserve"> </w:t>
      </w:r>
      <w:r w:rsidR="6208C2F7" w:rsidRPr="005857DF">
        <w:t xml:space="preserve">za </w:t>
      </w:r>
      <w:r w:rsidR="50EA7C35" w:rsidRPr="005857DF">
        <w:t>u</w:t>
      </w:r>
      <w:r w:rsidR="5B6388FF" w:rsidRPr="005857DF">
        <w:t xml:space="preserve">vođenje </w:t>
      </w:r>
      <w:r w:rsidR="50EA7C35" w:rsidRPr="005857DF">
        <w:t xml:space="preserve">u rad </w:t>
      </w:r>
      <w:r w:rsidRPr="005857DF">
        <w:t xml:space="preserve"> članova </w:t>
      </w:r>
      <w:r>
        <w:t>povjerenstva, koji su ujedno i auditori.</w:t>
      </w:r>
    </w:p>
    <w:p w14:paraId="4E3F0D7F" w14:textId="0088678B" w:rsidR="001E6788" w:rsidRPr="0073602D" w:rsidRDefault="001E6788" w:rsidP="0028530A">
      <w:r w:rsidRPr="001E6788">
        <w:t xml:space="preserve">Odgovornost Povjerenstva definirana je </w:t>
      </w:r>
      <w:r w:rsidR="000D503E">
        <w:t xml:space="preserve">ovim Pravilnikom, </w:t>
      </w:r>
      <w:r w:rsidRPr="0073602D">
        <w:t xml:space="preserve">postupcima </w:t>
      </w:r>
      <w:r w:rsidRPr="0073602D">
        <w:rPr>
          <w:i/>
          <w:iCs/>
        </w:rPr>
        <w:t>SOP-05 Popravne radnje i prijedlozi za poboljšanja</w:t>
      </w:r>
      <w:r w:rsidRPr="0073602D">
        <w:t xml:space="preserve"> i </w:t>
      </w:r>
      <w:r w:rsidRPr="0073602D">
        <w:rPr>
          <w:i/>
          <w:iCs/>
        </w:rPr>
        <w:t>SOP-24 Upravljanje nesukladnom uslugom</w:t>
      </w:r>
      <w:r w:rsidRPr="0073602D">
        <w:t>.</w:t>
      </w:r>
    </w:p>
    <w:p w14:paraId="63F59847" w14:textId="77777777" w:rsidR="001E6788" w:rsidRPr="004D168E" w:rsidRDefault="001E6788" w:rsidP="004D168E">
      <w:pPr>
        <w:pStyle w:val="Naslov2"/>
        <w:rPr>
          <w:rFonts w:eastAsia="Calibri Light"/>
        </w:rPr>
      </w:pPr>
      <w:r w:rsidRPr="004D168E">
        <w:rPr>
          <w:rFonts w:eastAsia="Calibri Light"/>
        </w:rPr>
        <w:t>Postupak</w:t>
      </w:r>
    </w:p>
    <w:p w14:paraId="323AFC49" w14:textId="5A6A5844" w:rsidR="00A470E3" w:rsidRPr="00827A35" w:rsidRDefault="00A470E3" w:rsidP="00F26E78">
      <w:pPr>
        <w:pStyle w:val="Podnaslov"/>
        <w:rPr>
          <w:rFonts w:eastAsia="Calibri Light"/>
        </w:rPr>
      </w:pPr>
      <w:r w:rsidRPr="00F37439">
        <w:t>Članak</w:t>
      </w:r>
      <w:r w:rsidRPr="00827A35">
        <w:rPr>
          <w:rFonts w:eastAsia="Calibri Light"/>
        </w:rPr>
        <w:t xml:space="preserve"> </w:t>
      </w:r>
      <w:r w:rsidR="00F26E78">
        <w:rPr>
          <w:rFonts w:eastAsia="Calibri Light"/>
        </w:rPr>
        <w:t>4</w:t>
      </w:r>
      <w:r w:rsidRPr="00827A35">
        <w:rPr>
          <w:rFonts w:eastAsia="Calibri Light"/>
        </w:rPr>
        <w:t>.</w:t>
      </w:r>
    </w:p>
    <w:p w14:paraId="5FDFBF25" w14:textId="77777777" w:rsidR="001E6788" w:rsidRPr="00975197" w:rsidRDefault="001E6788" w:rsidP="00827A35">
      <w:pPr>
        <w:pStyle w:val="Naslov3"/>
      </w:pPr>
      <w:r w:rsidRPr="00975197">
        <w:t>Pojmovi i definicije</w:t>
      </w:r>
    </w:p>
    <w:p w14:paraId="25B4E91A" w14:textId="77777777" w:rsidR="001E6788" w:rsidRPr="001E6788" w:rsidRDefault="001E6788" w:rsidP="0028530A">
      <w:r w:rsidRPr="0073602D">
        <w:rPr>
          <w:bCs/>
          <w:i/>
          <w:iCs/>
        </w:rPr>
        <w:t xml:space="preserve">Prosudba (audit) </w:t>
      </w:r>
      <w:r w:rsidRPr="00A470E3">
        <w:t xml:space="preserve">je ocjena organizacije, sustava, procesa, postupka ili proizvoda (općenita definicija). Prema dokumentu </w:t>
      </w:r>
      <w:r w:rsidRPr="00A470E3">
        <w:rPr>
          <w:i/>
        </w:rPr>
        <w:t>Temeljna načela i terminološki rječnik ISO 9000</w:t>
      </w:r>
      <w:r w:rsidRPr="00A470E3">
        <w:t>, audit je sustavan, neovisan i dokumentiran proces za dobivanje dokaza audita i njihovo objektivno vrednovanje kako bi se utvrdio opseg do kojeg su ispunjeni kriteriji audita. Dodatno, audit je sustavna i formalna usporedba dokumentacije i prakse sa zahtjevima, sa svrhom otkrivanja</w:t>
      </w:r>
      <w:r w:rsidRPr="001E6788">
        <w:t xml:space="preserve"> nesukladnosti ili prilika za poboljšanje.</w:t>
      </w:r>
    </w:p>
    <w:p w14:paraId="285F4B2F" w14:textId="77777777" w:rsidR="001E6788" w:rsidRPr="001E6788" w:rsidRDefault="001E6788" w:rsidP="0028530A">
      <w:r w:rsidRPr="0073602D">
        <w:rPr>
          <w:bCs/>
          <w:i/>
          <w:iCs/>
        </w:rPr>
        <w:lastRenderedPageBreak/>
        <w:t>Dokazi</w:t>
      </w:r>
      <w:r w:rsidRPr="001E6788">
        <w:t xml:space="preserve"> – dokumenti, zapisi sastanaka i formalnih razgovora, navodi činjenica te ostale bitne informacije bitne za kriterije neovisne ocjene, a koje je moguće provjeriti.</w:t>
      </w:r>
    </w:p>
    <w:p w14:paraId="6AD42183" w14:textId="4E6B1830" w:rsidR="001E6788" w:rsidRPr="00086455" w:rsidRDefault="001E6788" w:rsidP="0028530A">
      <w:r w:rsidRPr="23D9502A">
        <w:rPr>
          <w:i/>
          <w:iCs/>
        </w:rPr>
        <w:t>Nalazi</w:t>
      </w:r>
      <w:r>
        <w:t xml:space="preserve"> – rezultati vrednovanja prikupljenih dokaza neovisne ocjene u odnosu na kriterije neovisne ocjene. Nalazi mogu biti </w:t>
      </w:r>
      <w:r w:rsidR="7416E2AE">
        <w:t xml:space="preserve">ocjenjeni </w:t>
      </w:r>
      <w:r w:rsidRPr="00086455">
        <w:t>pozitivn</w:t>
      </w:r>
      <w:r w:rsidR="4EC5D073" w:rsidRPr="00086455">
        <w:t xml:space="preserve">o </w:t>
      </w:r>
      <w:r w:rsidRPr="00086455">
        <w:t>(</w:t>
      </w:r>
      <w:r w:rsidR="00086455" w:rsidRPr="00086455">
        <w:t>o</w:t>
      </w:r>
      <w:r w:rsidR="2C55317C" w:rsidRPr="00086455">
        <w:t>cjena s</w:t>
      </w:r>
      <w:r w:rsidRPr="00086455">
        <w:t>ukladno – S) ili negativn</w:t>
      </w:r>
      <w:r w:rsidR="0A7A87D5" w:rsidRPr="00086455">
        <w:t>o</w:t>
      </w:r>
      <w:r w:rsidRPr="00086455">
        <w:t xml:space="preserve"> (</w:t>
      </w:r>
      <w:r w:rsidR="28CFB566" w:rsidRPr="00086455">
        <w:t xml:space="preserve">ocjena  </w:t>
      </w:r>
      <w:r w:rsidRPr="00086455">
        <w:t>nesukladnosti – N).</w:t>
      </w:r>
      <w:r w:rsidR="0E5DD9B2" w:rsidRPr="00086455">
        <w:t xml:space="preserve"> Ocjene nalaza upisuju se u sažetak internog audita </w:t>
      </w:r>
      <w:r w:rsidR="0E5DD9B2" w:rsidRPr="00FD7736">
        <w:rPr>
          <w:i/>
          <w:iCs/>
        </w:rPr>
        <w:t>OB-0033</w:t>
      </w:r>
      <w:r w:rsidR="00FD7736">
        <w:rPr>
          <w:i/>
          <w:iCs/>
        </w:rPr>
        <w:t>.</w:t>
      </w:r>
      <w:r w:rsidR="0E5DD9B2" w:rsidRPr="00086455">
        <w:t xml:space="preserve"> </w:t>
      </w:r>
    </w:p>
    <w:p w14:paraId="67169DD1" w14:textId="7D8BC05A" w:rsidR="001E6788" w:rsidRPr="00086455" w:rsidRDefault="001E6788" w:rsidP="23D9502A">
      <w:r w:rsidRPr="00086455">
        <w:rPr>
          <w:i/>
          <w:iCs/>
        </w:rPr>
        <w:t>Nesukladnost</w:t>
      </w:r>
      <w:r w:rsidR="575988E2" w:rsidRPr="00086455">
        <w:rPr>
          <w:i/>
          <w:iCs/>
        </w:rPr>
        <w:t xml:space="preserve"> </w:t>
      </w:r>
      <w:r w:rsidRPr="00086455">
        <w:rPr>
          <w:i/>
          <w:iCs/>
        </w:rPr>
        <w:t xml:space="preserve"> </w:t>
      </w:r>
      <w:r w:rsidRPr="00086455">
        <w:t>– neispunjavanje zahtjeva (praksa ili dokazi nisu u skladu sa zahtjevima).</w:t>
      </w:r>
      <w:r w:rsidR="634189E6" w:rsidRPr="00086455">
        <w:t xml:space="preserve"> </w:t>
      </w:r>
      <w:r w:rsidR="21E66F18" w:rsidRPr="00086455">
        <w:t xml:space="preserve">Navodi </w:t>
      </w:r>
      <w:r w:rsidR="634189E6" w:rsidRPr="00086455">
        <w:t xml:space="preserve">se u  </w:t>
      </w:r>
      <w:r w:rsidR="3FDDC6E2" w:rsidRPr="00086455">
        <w:t>“</w:t>
      </w:r>
      <w:r w:rsidR="45C02B24" w:rsidRPr="00FD7736">
        <w:rPr>
          <w:i/>
          <w:iCs/>
        </w:rPr>
        <w:t>1. dio: P</w:t>
      </w:r>
      <w:r w:rsidR="18786A8C" w:rsidRPr="00FD7736">
        <w:rPr>
          <w:i/>
          <w:iCs/>
        </w:rPr>
        <w:t>rijava</w:t>
      </w:r>
      <w:r w:rsidR="60010D72" w:rsidRPr="00FD7736">
        <w:rPr>
          <w:i/>
          <w:iCs/>
        </w:rPr>
        <w:t>”</w:t>
      </w:r>
      <w:r w:rsidR="18786A8C" w:rsidRPr="00086455">
        <w:t xml:space="preserve"> </w:t>
      </w:r>
      <w:r w:rsidR="0A9AC82D" w:rsidRPr="00086455">
        <w:t xml:space="preserve">unutar </w:t>
      </w:r>
      <w:r w:rsidR="18786A8C" w:rsidRPr="00086455">
        <w:t>ION obrasca</w:t>
      </w:r>
      <w:r w:rsidR="00FD7736">
        <w:t>.</w:t>
      </w:r>
    </w:p>
    <w:p w14:paraId="69B1453F" w14:textId="66686A7A" w:rsidR="001E6788" w:rsidRPr="00086455" w:rsidRDefault="001E6788" w:rsidP="23D9502A">
      <w:r w:rsidRPr="00086455">
        <w:rPr>
          <w:i/>
          <w:iCs/>
        </w:rPr>
        <w:t>Ispravak</w:t>
      </w:r>
      <w:r w:rsidRPr="00086455">
        <w:t xml:space="preserve"> – radnja kojom se uklanja otkrivena nesukladnost (npr. dorada).</w:t>
      </w:r>
      <w:r w:rsidR="37C7B245" w:rsidRPr="00086455">
        <w:t xml:space="preserve"> </w:t>
      </w:r>
      <w:r w:rsidR="737640FF" w:rsidRPr="00086455">
        <w:t>Navodi se u  “</w:t>
      </w:r>
      <w:r w:rsidR="737640FF" w:rsidRPr="00FD7736">
        <w:rPr>
          <w:i/>
          <w:iCs/>
        </w:rPr>
        <w:t xml:space="preserve">3. dio: Analiza uzroka i </w:t>
      </w:r>
      <w:r w:rsidR="00086455" w:rsidRPr="00FD7736">
        <w:rPr>
          <w:i/>
          <w:iCs/>
        </w:rPr>
        <w:t>akcijski</w:t>
      </w:r>
      <w:r w:rsidR="737640FF" w:rsidRPr="00FD7736">
        <w:rPr>
          <w:i/>
          <w:iCs/>
        </w:rPr>
        <w:t xml:space="preserve"> plan”</w:t>
      </w:r>
      <w:r w:rsidR="737640FF" w:rsidRPr="00086455">
        <w:t xml:space="preserve"> unutar ION obrasca</w:t>
      </w:r>
      <w:r w:rsidR="00FD7736">
        <w:t>.</w:t>
      </w:r>
    </w:p>
    <w:p w14:paraId="7CE006CE" w14:textId="4EC9ABCD" w:rsidR="001E6788" w:rsidRPr="00086455" w:rsidRDefault="001E6788" w:rsidP="23D9502A">
      <w:r w:rsidRPr="00086455">
        <w:rPr>
          <w:i/>
          <w:iCs/>
        </w:rPr>
        <w:t xml:space="preserve">Popravna radnja </w:t>
      </w:r>
      <w:r w:rsidRPr="00086455">
        <w:t>– radnja kojom se uklanja uzrok nesukladnosti i sprječava ponovna pojava.</w:t>
      </w:r>
      <w:r w:rsidR="4B31A092" w:rsidRPr="00086455">
        <w:t xml:space="preserve"> Navodi se u  </w:t>
      </w:r>
      <w:r w:rsidR="4B31A092" w:rsidRPr="00FD7736">
        <w:rPr>
          <w:i/>
          <w:iCs/>
        </w:rPr>
        <w:t xml:space="preserve">“3. dio: Analiza uzroka i </w:t>
      </w:r>
      <w:r w:rsidR="00086455" w:rsidRPr="00FD7736">
        <w:rPr>
          <w:i/>
          <w:iCs/>
        </w:rPr>
        <w:t>akcijski</w:t>
      </w:r>
      <w:r w:rsidR="4B31A092" w:rsidRPr="00FD7736">
        <w:rPr>
          <w:i/>
          <w:iCs/>
        </w:rPr>
        <w:t xml:space="preserve"> plan</w:t>
      </w:r>
      <w:r w:rsidR="4B31A092" w:rsidRPr="00086455">
        <w:t>” unutar ION obrasca</w:t>
      </w:r>
      <w:r w:rsidR="00FD7736">
        <w:t>.</w:t>
      </w:r>
      <w:r w:rsidR="4B31A092" w:rsidRPr="00086455">
        <w:t xml:space="preserve">  </w:t>
      </w:r>
    </w:p>
    <w:p w14:paraId="50BA786C" w14:textId="1BA8E132" w:rsidR="001E6788" w:rsidRPr="00086455" w:rsidRDefault="4B31A092" w:rsidP="23D9502A">
      <w:r w:rsidRPr="00086455">
        <w:rPr>
          <w:i/>
          <w:iCs/>
        </w:rPr>
        <w:t xml:space="preserve">Preventivna akcija </w:t>
      </w:r>
      <w:r w:rsidRPr="00086455">
        <w:t>– radnja kojom se sprječava</w:t>
      </w:r>
      <w:r w:rsidR="3D279145" w:rsidRPr="00086455">
        <w:t xml:space="preserve"> potencijalna nesukladnost uočena</w:t>
      </w:r>
      <w:r w:rsidR="5DBF0906" w:rsidRPr="00086455">
        <w:t xml:space="preserve"> u provođenju stvarne prakse auditiranog područja</w:t>
      </w:r>
      <w:r w:rsidR="3D279145" w:rsidRPr="00086455">
        <w:t xml:space="preserve"> </w:t>
      </w:r>
      <w:r w:rsidR="73EFF75B" w:rsidRPr="00086455">
        <w:t xml:space="preserve">Upisuje se u </w:t>
      </w:r>
      <w:r w:rsidR="73EFF75B" w:rsidRPr="00FD7736">
        <w:rPr>
          <w:i/>
          <w:iCs/>
        </w:rPr>
        <w:t>“1. dio: Prijava”</w:t>
      </w:r>
      <w:r w:rsidR="73EFF75B" w:rsidRPr="00086455">
        <w:t xml:space="preserve"> unutar ION obrasca i unutar sažetka internog audita OB-0033</w:t>
      </w:r>
      <w:r w:rsidR="3D279145" w:rsidRPr="00086455">
        <w:t>.</w:t>
      </w:r>
    </w:p>
    <w:p w14:paraId="5CBBF126" w14:textId="7A189DA5" w:rsidR="23D9502A" w:rsidRPr="00086455" w:rsidRDefault="3D279145" w:rsidP="23D9502A">
      <w:r w:rsidRPr="00086455">
        <w:rPr>
          <w:i/>
          <w:iCs/>
        </w:rPr>
        <w:t xml:space="preserve">Prilika za poboljšanje </w:t>
      </w:r>
      <w:r w:rsidRPr="00086455">
        <w:t xml:space="preserve">– radnja kojom se općenito doprinosi poboljšanju auditiranog </w:t>
      </w:r>
      <w:r w:rsidR="5D80D0FE" w:rsidRPr="00086455">
        <w:t>područja</w:t>
      </w:r>
      <w:r w:rsidR="5283C6F6" w:rsidRPr="00086455">
        <w:t>. Upisuje se u “</w:t>
      </w:r>
      <w:r w:rsidR="5283C6F6" w:rsidRPr="00FD7736">
        <w:rPr>
          <w:i/>
          <w:iCs/>
        </w:rPr>
        <w:t>1. dio: Prijava”</w:t>
      </w:r>
      <w:r w:rsidR="5283C6F6" w:rsidRPr="00086455">
        <w:t xml:space="preserve"> unutar ION obrasca i unutar sažetka internog audita OB-0033.</w:t>
      </w:r>
    </w:p>
    <w:p w14:paraId="1CAAAEB6" w14:textId="77777777" w:rsidR="001E6788" w:rsidRPr="001E6788" w:rsidRDefault="001E6788" w:rsidP="0028530A">
      <w:r w:rsidRPr="0073602D">
        <w:rPr>
          <w:bCs/>
          <w:i/>
          <w:iCs/>
        </w:rPr>
        <w:t xml:space="preserve">Program audita </w:t>
      </w:r>
      <w:r w:rsidRPr="001E6788">
        <w:t>– skup od jednog ili više audita planiran za posebni vremenski okvir i usmjeren prema posebnoj svrsi.</w:t>
      </w:r>
    </w:p>
    <w:p w14:paraId="5AFD5009" w14:textId="77777777" w:rsidR="001E6788" w:rsidRPr="001E6788" w:rsidRDefault="001E6788" w:rsidP="0028530A">
      <w:r w:rsidRPr="0073602D">
        <w:rPr>
          <w:bCs/>
          <w:i/>
          <w:iCs/>
        </w:rPr>
        <w:t xml:space="preserve">Plan audita </w:t>
      </w:r>
      <w:r w:rsidRPr="001E6788">
        <w:t>– opis aktivnosti i priprema za audit.</w:t>
      </w:r>
    </w:p>
    <w:p w14:paraId="42F453E5" w14:textId="77777777" w:rsidR="001E6788" w:rsidRPr="001E6788" w:rsidRDefault="001E6788" w:rsidP="0028530A">
      <w:r w:rsidRPr="0073602D">
        <w:rPr>
          <w:bCs/>
          <w:i/>
          <w:iCs/>
        </w:rPr>
        <w:t xml:space="preserve">Opseg audita </w:t>
      </w:r>
      <w:r w:rsidRPr="001E6788">
        <w:t xml:space="preserve">– razmjer i granice audita. </w:t>
      </w:r>
    </w:p>
    <w:p w14:paraId="32433DE0" w14:textId="765F6226" w:rsidR="001E6788" w:rsidRPr="001E6788" w:rsidRDefault="001E6788" w:rsidP="0028530A">
      <w:r w:rsidRPr="0073602D">
        <w:rPr>
          <w:bCs/>
          <w:i/>
          <w:iCs/>
        </w:rPr>
        <w:t>Audit prve strane ili unutarnja prosudba (audit)</w:t>
      </w:r>
      <w:r w:rsidRPr="001E6788">
        <w:t xml:space="preserve"> – pojam koji se koristi kada auditor radi za organizaciju</w:t>
      </w:r>
      <w:r w:rsidR="006B0D6C">
        <w:t>/instituciju</w:t>
      </w:r>
      <w:r w:rsidRPr="001E6788">
        <w:t xml:space="preserve"> koja se auditira.</w:t>
      </w:r>
    </w:p>
    <w:p w14:paraId="58A9915E" w14:textId="77777777" w:rsidR="001E6788" w:rsidRPr="001E6788" w:rsidRDefault="001E6788" w:rsidP="0028530A">
      <w:r w:rsidRPr="0073602D">
        <w:rPr>
          <w:bCs/>
          <w:i/>
          <w:iCs/>
        </w:rPr>
        <w:t xml:space="preserve">Područje unutarnje prosudbe </w:t>
      </w:r>
      <w:r w:rsidRPr="001E6788">
        <w:t>– organizacija, proces, odjel ili služba koja se neovisno ocjenjuje.</w:t>
      </w:r>
    </w:p>
    <w:p w14:paraId="7C3A9890" w14:textId="77777777" w:rsidR="001E6788" w:rsidRPr="001E6788" w:rsidRDefault="001E6788" w:rsidP="0028530A">
      <w:r w:rsidRPr="23D9502A">
        <w:rPr>
          <w:i/>
          <w:iCs/>
        </w:rPr>
        <w:t>Auditor</w:t>
      </w:r>
      <w:r>
        <w:t xml:space="preserve"> – osoba osposobljena za provedbu unutarnje prosudbe.</w:t>
      </w:r>
    </w:p>
    <w:p w14:paraId="6EFBCF36" w14:textId="1D4E0E74" w:rsidR="001E6788" w:rsidRDefault="001E6788" w:rsidP="0028530A">
      <w:r w:rsidRPr="0073602D">
        <w:rPr>
          <w:bCs/>
          <w:i/>
          <w:iCs/>
        </w:rPr>
        <w:t>Kriteriji</w:t>
      </w:r>
      <w:r w:rsidRPr="001E6788">
        <w:t xml:space="preserve"> – polazne točke ili referentne </w:t>
      </w:r>
      <w:r w:rsidRPr="00A470E3">
        <w:t xml:space="preserve">vrijednosti na temelju kojih se može procijeniti dostizanje postavljenih ciljeva ili definiranih standarda (npr. </w:t>
      </w:r>
      <w:r w:rsidRPr="00A470E3">
        <w:rPr>
          <w:i/>
        </w:rPr>
        <w:t>DVI-12</w:t>
      </w:r>
      <w:r w:rsidRPr="00A470E3">
        <w:t xml:space="preserve">). </w:t>
      </w:r>
    </w:p>
    <w:p w14:paraId="4D49310B" w14:textId="77777777" w:rsidR="001E6788" w:rsidRDefault="001E6788" w:rsidP="00827A35">
      <w:pPr>
        <w:pStyle w:val="Naslov3"/>
      </w:pPr>
      <w:r w:rsidRPr="00975197">
        <w:t>Provedba audita</w:t>
      </w:r>
    </w:p>
    <w:p w14:paraId="42229B9E" w14:textId="3267820F" w:rsidR="009763F0" w:rsidRDefault="009763F0" w:rsidP="00F26E78">
      <w:pPr>
        <w:pStyle w:val="Podnaslov"/>
      </w:pPr>
      <w:r w:rsidRPr="00827A35">
        <w:t>Članak</w:t>
      </w:r>
      <w:r w:rsidRPr="009763F0">
        <w:t xml:space="preserve"> </w:t>
      </w:r>
      <w:r w:rsidR="00F26E78">
        <w:t>5</w:t>
      </w:r>
      <w:r w:rsidRPr="009763F0">
        <w:t>.</w:t>
      </w:r>
    </w:p>
    <w:p w14:paraId="6BCCD4A4" w14:textId="3F8EADD8" w:rsidR="009763F0" w:rsidRPr="009763F0" w:rsidRDefault="009763F0" w:rsidP="00E17A0A">
      <w:r w:rsidRPr="009763F0">
        <w:t>Unutarnja prosudba sustava upravljanja kvalitetom provodi se kako bi se osigurala stalna usklađenost sa zahtjevima standarda sustava upravljanja kvalitetom, politikama i postupcima organizacije. To se postiže auditiranjem svih važnih procesa i područja te primjenom svih primjenjivih dijelova standarda. Zahtjevi audita uključuju one iz norme ISO 9001 (</w:t>
      </w:r>
      <w:r w:rsidRPr="009763F0">
        <w:rPr>
          <w:i/>
          <w:iCs/>
        </w:rPr>
        <w:t>DVI-</w:t>
      </w:r>
      <w:r w:rsidR="0014412B" w:rsidRPr="0014412B">
        <w:rPr>
          <w:i/>
          <w:iCs/>
        </w:rPr>
        <w:t>11</w:t>
      </w:r>
      <w:r w:rsidRPr="009763F0">
        <w:t>) te dokumentaciju sustava upravljanja kvalitetom na TVZ-u (QTVZ), koja uključuje i ESG standarde (</w:t>
      </w:r>
      <w:r w:rsidRPr="009763F0">
        <w:rPr>
          <w:i/>
          <w:iCs/>
        </w:rPr>
        <w:t>DVI-10</w:t>
      </w:r>
      <w:r w:rsidR="0014412B" w:rsidRPr="0014412B">
        <w:rPr>
          <w:i/>
          <w:iCs/>
        </w:rPr>
        <w:t xml:space="preserve"> i</w:t>
      </w:r>
      <w:r w:rsidRPr="009763F0">
        <w:rPr>
          <w:i/>
          <w:iCs/>
        </w:rPr>
        <w:t xml:space="preserve"> DVI-12</w:t>
      </w:r>
      <w:r w:rsidRPr="009763F0">
        <w:t>).</w:t>
      </w:r>
    </w:p>
    <w:p w14:paraId="2C067BFC" w14:textId="77777777" w:rsidR="009763F0" w:rsidRPr="009763F0" w:rsidRDefault="009763F0" w:rsidP="00E17A0A">
      <w:r w:rsidRPr="009763F0">
        <w:t>Prosudbe se provode po procesima. Glavni procesi moraju se auditirati najmanje jednom godišnje.</w:t>
      </w:r>
    </w:p>
    <w:p w14:paraId="0FCF3550" w14:textId="342B4A8D" w:rsidR="009763F0" w:rsidRPr="009763F0" w:rsidRDefault="009763F0" w:rsidP="00E17A0A">
      <w:r w:rsidRPr="00086455">
        <w:t>Povjerenstv</w:t>
      </w:r>
      <w:r w:rsidR="58B00C3D" w:rsidRPr="00086455">
        <w:t>o</w:t>
      </w:r>
      <w:r w:rsidRPr="00086455">
        <w:t xml:space="preserve"> za unutarnju prosudbu početkom akademske godine</w:t>
      </w:r>
      <w:r w:rsidR="00827A35" w:rsidRPr="00086455">
        <w:t xml:space="preserve"> </w:t>
      </w:r>
      <w:r w:rsidRPr="00086455">
        <w:t xml:space="preserve">definira program audita. Programom audita određeno je koji </w:t>
      </w:r>
      <w:r>
        <w:t xml:space="preserve">će se procesi auditirati u tekućoj akademskoj godini. Program audita usvaja se na sjednici </w:t>
      </w:r>
      <w:r w:rsidR="00827A35">
        <w:t>V</w:t>
      </w:r>
      <w:r>
        <w:t xml:space="preserve">ijeća </w:t>
      </w:r>
      <w:r w:rsidR="00827A35">
        <w:t>V</w:t>
      </w:r>
      <w:r>
        <w:t>eleučilišta.</w:t>
      </w:r>
    </w:p>
    <w:p w14:paraId="1B3CEB79" w14:textId="320991CE" w:rsidR="009763F0" w:rsidRPr="009763F0" w:rsidRDefault="009763F0" w:rsidP="00E17A0A">
      <w:r>
        <w:t xml:space="preserve">Predsjednik PUP planira provedbu audita, sukladno programu audita. Za svaki auditirani proces dodjeljuje glavnog auditora (voditelja tima) i članove tima (auditore). Za svaki proces </w:t>
      </w:r>
      <w:r w:rsidRPr="00086455">
        <w:t>otvara</w:t>
      </w:r>
      <w:r w:rsidR="79EFC943" w:rsidRPr="00086455">
        <w:t xml:space="preserve"> se</w:t>
      </w:r>
      <w:r w:rsidRPr="00086455">
        <w:t xml:space="preserve"> </w:t>
      </w:r>
      <w:r w:rsidRPr="00086455">
        <w:rPr>
          <w:i/>
          <w:iCs/>
        </w:rPr>
        <w:t xml:space="preserve">Izvješće </w:t>
      </w:r>
      <w:r w:rsidRPr="23D9502A">
        <w:rPr>
          <w:i/>
          <w:iCs/>
        </w:rPr>
        <w:t>o provedenoj unutarnjoj prosudbi (0</w:t>
      </w:r>
      <w:r w:rsidR="00827A35" w:rsidRPr="23D9502A">
        <w:rPr>
          <w:i/>
          <w:iCs/>
        </w:rPr>
        <w:t>B</w:t>
      </w:r>
      <w:r w:rsidRPr="23D9502A">
        <w:rPr>
          <w:i/>
          <w:iCs/>
        </w:rPr>
        <w:t>-0033}</w:t>
      </w:r>
      <w:r w:rsidR="295E93C7" w:rsidRPr="23D9502A">
        <w:rPr>
          <w:i/>
          <w:iCs/>
        </w:rPr>
        <w:t>.</w:t>
      </w:r>
      <w:r>
        <w:t xml:space="preserve"> </w:t>
      </w:r>
    </w:p>
    <w:p w14:paraId="0B223749" w14:textId="0222F6A8" w:rsidR="009763F0" w:rsidRPr="009763F0" w:rsidRDefault="009763F0" w:rsidP="23D9502A">
      <w:pPr>
        <w:rPr>
          <w:strike/>
        </w:rPr>
      </w:pPr>
      <w:r>
        <w:t>Auditori su nezavisni prema auditiranom području</w:t>
      </w:r>
      <w:r w:rsidR="00086455">
        <w:t xml:space="preserve">. </w:t>
      </w:r>
      <w:r>
        <w:t>Glavni auditor mora biti osoba s iskustvom u provođenju audita (bio je auditor u nekoj od prethodnih unutarnjih prosudbi).</w:t>
      </w:r>
    </w:p>
    <w:p w14:paraId="503708BC" w14:textId="410FF28C" w:rsidR="009763F0" w:rsidRPr="009763F0" w:rsidRDefault="009763F0" w:rsidP="00E17A0A">
      <w:r w:rsidRPr="009763F0">
        <w:lastRenderedPageBreak/>
        <w:t xml:space="preserve">Glavni auditor će pomoću pripremljenog obrasca </w:t>
      </w:r>
      <w:r w:rsidRPr="009763F0">
        <w:rPr>
          <w:i/>
          <w:iCs/>
        </w:rPr>
        <w:t>Izvješće o provedenoj unutarnjoj prosudbi (OB- 0033)</w:t>
      </w:r>
      <w:r w:rsidRPr="009763F0">
        <w:t xml:space="preserve"> izraditi plan audita s ostalim članovima tima. Dogovaraju se termini audita s auditiranim</w:t>
      </w:r>
      <w:r>
        <w:t xml:space="preserve"> </w:t>
      </w:r>
      <w:r w:rsidRPr="009763F0">
        <w:t>osobama. U obrazac se dodaju pitanja/zahtjevi koji će se tokom audita verificirati.</w:t>
      </w:r>
    </w:p>
    <w:p w14:paraId="6A56F76D" w14:textId="099631EF" w:rsidR="009763F0" w:rsidRPr="009763F0" w:rsidRDefault="009763F0" w:rsidP="00E17A0A">
      <w:r w:rsidRPr="009763F0">
        <w:t xml:space="preserve">Auditori nakon toga kreću u provedbu audita prema koracima opisanim u obrascu </w:t>
      </w:r>
      <w:r w:rsidRPr="00E17A0A">
        <w:rPr>
          <w:i/>
          <w:iCs/>
        </w:rPr>
        <w:t>OB-0033</w:t>
      </w:r>
      <w:r w:rsidRPr="009763F0">
        <w:t xml:space="preserve">. </w:t>
      </w:r>
      <w:r w:rsidR="00E17A0A">
        <w:t>K</w:t>
      </w:r>
      <w:r w:rsidRPr="009763F0">
        <w:t>oraci su sljedeći:</w:t>
      </w:r>
    </w:p>
    <w:p w14:paraId="57BB136D" w14:textId="2FFB8811" w:rsidR="009763F0" w:rsidRPr="009763F0" w:rsidRDefault="009763F0" w:rsidP="00F26E78">
      <w:pPr>
        <w:pStyle w:val="Odlomakpopisa"/>
        <w:numPr>
          <w:ilvl w:val="0"/>
          <w:numId w:val="16"/>
        </w:numPr>
      </w:pPr>
      <w:r w:rsidRPr="00F26E78">
        <w:rPr>
          <w:i/>
          <w:iCs/>
        </w:rPr>
        <w:t>Plan audita</w:t>
      </w:r>
      <w:r w:rsidRPr="009763F0">
        <w:t xml:space="preserve"> - definiranje opsega audita (proces, lokacije), datuma, auditora, primjenjivih</w:t>
      </w:r>
      <w:r w:rsidR="00827A35" w:rsidRPr="00827A35">
        <w:t xml:space="preserve"> </w:t>
      </w:r>
      <w:r w:rsidRPr="009763F0">
        <w:t>točaka standarda i dokumentacije za pregled.</w:t>
      </w:r>
    </w:p>
    <w:p w14:paraId="6A08CCD0" w14:textId="5A5A1458" w:rsidR="009763F0" w:rsidRPr="009763F0" w:rsidRDefault="009763F0" w:rsidP="00F26E78">
      <w:pPr>
        <w:pStyle w:val="Odlomakpopisa"/>
        <w:numPr>
          <w:ilvl w:val="0"/>
          <w:numId w:val="16"/>
        </w:numPr>
      </w:pPr>
      <w:r w:rsidRPr="23D9502A">
        <w:rPr>
          <w:i/>
          <w:iCs/>
        </w:rPr>
        <w:t>Pregled dokumentacije</w:t>
      </w:r>
      <w:r>
        <w:t xml:space="preserve"> - usporedba dokumentacije sustava upravljanja kvalitetom (QTVZ)</w:t>
      </w:r>
      <w:r w:rsidR="00827A35">
        <w:t xml:space="preserve"> </w:t>
      </w:r>
      <w:r>
        <w:t>sa zahtjevima (ISO 9001 i ESG).</w:t>
      </w:r>
    </w:p>
    <w:p w14:paraId="2573D89C" w14:textId="4A74B2DB" w:rsidR="009763F0" w:rsidRPr="009763F0" w:rsidRDefault="009763F0" w:rsidP="00F26E78">
      <w:pPr>
        <w:pStyle w:val="Odlomakpopisa"/>
        <w:numPr>
          <w:ilvl w:val="0"/>
          <w:numId w:val="16"/>
        </w:numPr>
      </w:pPr>
      <w:r w:rsidRPr="00F26E78">
        <w:rPr>
          <w:i/>
          <w:iCs/>
        </w:rPr>
        <w:t>Auditiranje</w:t>
      </w:r>
      <w:r w:rsidRPr="009763F0">
        <w:t xml:space="preserve"> - usporedba stvarne prakse sa zahtjevima QTVZ dokumentacije i zahtjevima</w:t>
      </w:r>
      <w:r w:rsidR="00827A35" w:rsidRPr="00827A35">
        <w:t xml:space="preserve"> </w:t>
      </w:r>
      <w:r w:rsidRPr="009763F0">
        <w:t>ISO 9001 i ESG.</w:t>
      </w:r>
    </w:p>
    <w:p w14:paraId="68499D3B" w14:textId="454A9119" w:rsidR="009763F0" w:rsidRPr="009763F0" w:rsidRDefault="009763F0" w:rsidP="00F26E78">
      <w:pPr>
        <w:pStyle w:val="Odlomakpopisa"/>
        <w:numPr>
          <w:ilvl w:val="0"/>
          <w:numId w:val="16"/>
        </w:numPr>
      </w:pPr>
      <w:r w:rsidRPr="00F26E78">
        <w:rPr>
          <w:i/>
          <w:iCs/>
        </w:rPr>
        <w:t>Provjera učinkovitosti procesa</w:t>
      </w:r>
      <w:r w:rsidRPr="009763F0">
        <w:t xml:space="preserve"> - općenita pitanja sa svrhom provjere da li je proces učinkovit i da nije podložan generiranju nesukladnosti.</w:t>
      </w:r>
    </w:p>
    <w:p w14:paraId="106416A7" w14:textId="294B6D8C" w:rsidR="009763F0" w:rsidRPr="009763F0" w:rsidRDefault="009763F0" w:rsidP="00F26E78">
      <w:pPr>
        <w:pStyle w:val="Odlomakpopisa"/>
        <w:numPr>
          <w:ilvl w:val="0"/>
          <w:numId w:val="16"/>
        </w:numPr>
      </w:pPr>
      <w:r w:rsidRPr="00F26E78">
        <w:rPr>
          <w:i/>
          <w:iCs/>
        </w:rPr>
        <w:t>Sažetak internog audita</w:t>
      </w:r>
      <w:r w:rsidRPr="009763F0">
        <w:t xml:space="preserve"> - detaljna lista nalaza koja će se unijeti u pojedinačna izvješća o</w:t>
      </w:r>
      <w:r w:rsidR="00827A35">
        <w:t xml:space="preserve"> </w:t>
      </w:r>
      <w:r w:rsidRPr="009763F0">
        <w:t>nesukladnosti (ION).</w:t>
      </w:r>
    </w:p>
    <w:p w14:paraId="56660B73" w14:textId="62C9A87A" w:rsidR="009763F0" w:rsidRPr="009763F0" w:rsidRDefault="009763F0" w:rsidP="00F26E78">
      <w:pPr>
        <w:pStyle w:val="Odlomakpopisa"/>
        <w:numPr>
          <w:ilvl w:val="0"/>
          <w:numId w:val="16"/>
        </w:numPr>
      </w:pPr>
      <w:r w:rsidRPr="23D9502A">
        <w:rPr>
          <w:i/>
          <w:iCs/>
        </w:rPr>
        <w:t>Pregled i slanje izvješća</w:t>
      </w:r>
      <w:r>
        <w:t xml:space="preserve"> - pregled svih nalaza od strane glavnog auditora, kako bi se</w:t>
      </w:r>
      <w:r w:rsidR="00827A35">
        <w:t xml:space="preserve"> o</w:t>
      </w:r>
      <w:r>
        <w:t>siguralo da</w:t>
      </w:r>
      <w:r w:rsidR="6BF1CCE6">
        <w:t xml:space="preserve"> </w:t>
      </w:r>
      <w:r>
        <w:t>je izvješće kompletno, objektivno, jasno i da pruža sljedive objektivne dokaze.</w:t>
      </w:r>
    </w:p>
    <w:p w14:paraId="74F16174" w14:textId="3169DBDA" w:rsidR="00F26E78" w:rsidRDefault="00F26E78" w:rsidP="00F26E78">
      <w:pPr>
        <w:pStyle w:val="Podnaslov"/>
      </w:pPr>
      <w:r>
        <w:t>Članak 6.</w:t>
      </w:r>
    </w:p>
    <w:p w14:paraId="23D2203B" w14:textId="312BB5FC" w:rsidR="009763F0" w:rsidRPr="009763F0" w:rsidRDefault="009763F0" w:rsidP="00827A35">
      <w:r w:rsidRPr="009763F0">
        <w:t xml:space="preserve">Za svaki nalaz zapisan u </w:t>
      </w:r>
      <w:r w:rsidRPr="00F26E78">
        <w:rPr>
          <w:i/>
          <w:iCs/>
        </w:rPr>
        <w:t>Izvješću o provedenoj unutarnjoj prosudbi (OB-0033)</w:t>
      </w:r>
      <w:r w:rsidRPr="009763F0">
        <w:t xml:space="preserve"> auditor podnosi Izvješće o nesukladnosti ili poboljšanju (</w:t>
      </w:r>
      <w:r w:rsidRPr="00F26E78">
        <w:rPr>
          <w:i/>
          <w:iCs/>
        </w:rPr>
        <w:t>OB-0013</w:t>
      </w:r>
      <w:r w:rsidRPr="009763F0">
        <w:t xml:space="preserve">), sukladno postupku </w:t>
      </w:r>
      <w:r w:rsidRPr="00F26E78">
        <w:rPr>
          <w:i/>
          <w:iCs/>
        </w:rPr>
        <w:t>SOP-05 Popravne radnje i prijedlozi za poboljšanja</w:t>
      </w:r>
      <w:r w:rsidRPr="009763F0">
        <w:t>.</w:t>
      </w:r>
    </w:p>
    <w:p w14:paraId="4F2B4F06" w14:textId="1A4ECE06" w:rsidR="009763F0" w:rsidRPr="009763F0" w:rsidRDefault="009763F0" w:rsidP="00827A35">
      <w:r w:rsidRPr="009763F0">
        <w:t>Prilikom zapisivanja nesukladnosti, svaki nalaz mora sadržavati tri elementa:</w:t>
      </w:r>
    </w:p>
    <w:p w14:paraId="4B837FFB" w14:textId="317ECE2E" w:rsidR="009763F0" w:rsidRPr="009763F0" w:rsidRDefault="009763F0" w:rsidP="00F26E78">
      <w:pPr>
        <w:pStyle w:val="Odlomakpopisa"/>
        <w:numPr>
          <w:ilvl w:val="0"/>
          <w:numId w:val="17"/>
        </w:numPr>
      </w:pPr>
      <w:r w:rsidRPr="00E03AAD">
        <w:rPr>
          <w:i/>
          <w:iCs/>
        </w:rPr>
        <w:t>Naznaka zahtjeva</w:t>
      </w:r>
      <w:r w:rsidRPr="009763F0">
        <w:t xml:space="preserve"> - dokument ili točka standarda (norme) za koju se smatra daje prekršena.</w:t>
      </w:r>
    </w:p>
    <w:p w14:paraId="454B95C7" w14:textId="203E1931" w:rsidR="009763F0" w:rsidRPr="009763F0" w:rsidRDefault="009763F0" w:rsidP="00F26E78">
      <w:pPr>
        <w:pStyle w:val="Odlomakpopisa"/>
        <w:numPr>
          <w:ilvl w:val="0"/>
          <w:numId w:val="17"/>
        </w:numPr>
      </w:pPr>
      <w:r w:rsidRPr="00E03AAD">
        <w:rPr>
          <w:i/>
          <w:iCs/>
        </w:rPr>
        <w:t>Objektivni dokaz</w:t>
      </w:r>
      <w:r w:rsidRPr="009763F0">
        <w:t xml:space="preserve"> - sljedivi trag pronađenih dokaza koji podržava tvrdnju o nesukladnosti</w:t>
      </w:r>
      <w:r w:rsidR="00827A35">
        <w:t xml:space="preserve"> </w:t>
      </w:r>
      <w:r w:rsidRPr="009763F0">
        <w:t>(npr. dokumenti, zapisi, rezultati razgovora). U svim slučajevima objektivni dokazi moraju biti zabilježeni u dovoljnoj mjeri kako bi se osiguralo da treća strana može pronaći točne dokaze kasnije.</w:t>
      </w:r>
    </w:p>
    <w:p w14:paraId="43BC2E88" w14:textId="5BB678FF" w:rsidR="009763F0" w:rsidRPr="009763F0" w:rsidRDefault="009763F0" w:rsidP="00F26E78">
      <w:pPr>
        <w:pStyle w:val="Odlomakpopisa"/>
        <w:numPr>
          <w:ilvl w:val="0"/>
          <w:numId w:val="17"/>
        </w:numPr>
      </w:pPr>
      <w:r w:rsidRPr="00E03AAD">
        <w:rPr>
          <w:i/>
          <w:iCs/>
        </w:rPr>
        <w:t>Kratki opis</w:t>
      </w:r>
      <w:r w:rsidRPr="009763F0">
        <w:t xml:space="preserve"> - kratka izjava o tome zašto objektivni dokazi pokazuju nesukladnost prema</w:t>
      </w:r>
      <w:r w:rsidR="00827A35">
        <w:t xml:space="preserve"> </w:t>
      </w:r>
      <w:r w:rsidRPr="009763F0">
        <w:t>zahtjevu.</w:t>
      </w:r>
    </w:p>
    <w:p w14:paraId="2551E363" w14:textId="77777777" w:rsidR="009763F0" w:rsidRPr="009763F0" w:rsidRDefault="009763F0" w:rsidP="009763F0">
      <w:pPr>
        <w:numPr>
          <w:ilvl w:val="0"/>
          <w:numId w:val="11"/>
        </w:numPr>
      </w:pPr>
      <w:r w:rsidRPr="009763F0">
        <w:t>Svakom nalazu se dodjeljuje tip: popravna ili korektivna radnja za postojeću nesukladnost (K), preventivna radnja za potencijalnu nesukladnost (P) ili prilika za poboljšanje (PZP).</w:t>
      </w:r>
    </w:p>
    <w:p w14:paraId="68F1BBBB" w14:textId="5E3BFB32" w:rsidR="00F26E78" w:rsidRDefault="00F26E78" w:rsidP="00F26E78">
      <w:pPr>
        <w:pStyle w:val="Podnaslov"/>
      </w:pPr>
      <w:r>
        <w:t xml:space="preserve">Članak 7. </w:t>
      </w:r>
    </w:p>
    <w:p w14:paraId="518D077C" w14:textId="58B66947" w:rsidR="009763F0" w:rsidRPr="009763F0" w:rsidRDefault="009763F0" w:rsidP="009763F0">
      <w:pPr>
        <w:numPr>
          <w:ilvl w:val="0"/>
          <w:numId w:val="11"/>
        </w:numPr>
      </w:pPr>
      <w:r w:rsidRPr="009763F0">
        <w:t xml:space="preserve">Nakon podnošenja </w:t>
      </w:r>
      <w:r w:rsidRPr="009763F0">
        <w:rPr>
          <w:i/>
          <w:iCs/>
        </w:rPr>
        <w:t>Izvješća o nesukladnosti ili poboljšanju (ION)</w:t>
      </w:r>
      <w:r w:rsidRPr="009763F0">
        <w:t>, odgovorne (zadužene) osobe će poduzeti popravne radnje potrebne za eliminiranje uzroka nesukladnosti. Ispravci se poduzimaju u čim kraćem roku kako bi se otklonila pronađena nesukladnost. U dijelu ION obrasca koji se odnosi na verifikaciju, ocjenjuje se učinkovitost poduzetih radnji s obzirom na nalaze audita.</w:t>
      </w:r>
    </w:p>
    <w:p w14:paraId="2A64F491" w14:textId="5E77BAC1" w:rsidR="009763F0" w:rsidRPr="009763F0" w:rsidRDefault="009763F0" w:rsidP="009763F0">
      <w:pPr>
        <w:numPr>
          <w:ilvl w:val="0"/>
          <w:numId w:val="11"/>
        </w:numPr>
      </w:pPr>
      <w:r w:rsidRPr="009763F0">
        <w:t xml:space="preserve">Po završetku audita, a najkasnije do kraja akademske godine predsjednik PUP-a podnosi </w:t>
      </w:r>
      <w:r w:rsidR="00827A35">
        <w:t>V</w:t>
      </w:r>
      <w:r w:rsidRPr="009763F0">
        <w:t xml:space="preserve">ijeću </w:t>
      </w:r>
      <w:r w:rsidR="00827A35">
        <w:t>V</w:t>
      </w:r>
      <w:r w:rsidRPr="009763F0">
        <w:t>eleučilišta Izvješće o radu PUP-a, u kojem se navode skupni nalazi audita (auditori i timovi po procesima, broj pronađenih nesukladnosti ili prilika za poboljšanje po procesima, broj riješenih nesukladnosti itd.).</w:t>
      </w:r>
    </w:p>
    <w:p w14:paraId="7E073451" w14:textId="0146EC30" w:rsidR="009763F0" w:rsidRDefault="009763F0" w:rsidP="009763F0">
      <w:pPr>
        <w:numPr>
          <w:ilvl w:val="0"/>
          <w:numId w:val="11"/>
        </w:numPr>
      </w:pPr>
      <w:r w:rsidRPr="009763F0">
        <w:t>U svim slučajevima i fazama audita, od auditiranih osoba se očekuje potpuna suradnja s timovima</w:t>
      </w:r>
      <w:r w:rsidR="003F3899">
        <w:t xml:space="preserve"> </w:t>
      </w:r>
      <w:r w:rsidRPr="009763F0">
        <w:t>auditora.</w:t>
      </w:r>
    </w:p>
    <w:p w14:paraId="3546ED52" w14:textId="77777777" w:rsidR="006F0C8B" w:rsidRPr="009763F0" w:rsidRDefault="006F0C8B" w:rsidP="009763F0">
      <w:pPr>
        <w:numPr>
          <w:ilvl w:val="0"/>
          <w:numId w:val="11"/>
        </w:numPr>
      </w:pPr>
    </w:p>
    <w:p w14:paraId="28A10024" w14:textId="77777777" w:rsidR="001E6788" w:rsidRPr="004D168E" w:rsidRDefault="001E6788" w:rsidP="004D168E">
      <w:pPr>
        <w:pStyle w:val="Naslov2"/>
        <w:rPr>
          <w:rFonts w:eastAsia="Calibri Light"/>
        </w:rPr>
      </w:pPr>
      <w:r w:rsidRPr="004D168E">
        <w:rPr>
          <w:rFonts w:eastAsia="Calibri Light"/>
        </w:rPr>
        <w:lastRenderedPageBreak/>
        <w:t>Referentni dokumenti, obrasci i zapisi</w:t>
      </w:r>
    </w:p>
    <w:p w14:paraId="71437CD2" w14:textId="28DBA888" w:rsidR="00A470E3" w:rsidRPr="00A470E3" w:rsidRDefault="00A470E3" w:rsidP="00F26E78">
      <w:pPr>
        <w:pStyle w:val="Podnaslov"/>
        <w:rPr>
          <w:rFonts w:eastAsia="Calibri Light"/>
        </w:rPr>
      </w:pPr>
      <w:r w:rsidRPr="00A470E3">
        <w:rPr>
          <w:rFonts w:eastAsia="Calibri Light"/>
        </w:rPr>
        <w:t>Članak</w:t>
      </w:r>
      <w:r w:rsidR="00514E2C">
        <w:t xml:space="preserve"> 8.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7873"/>
      </w:tblGrid>
      <w:tr w:rsidR="00860545" w:rsidRPr="001E6788" w14:paraId="38BD2DE9" w14:textId="77777777" w:rsidTr="00514043">
        <w:tc>
          <w:tcPr>
            <w:tcW w:w="1199" w:type="dxa"/>
            <w:vAlign w:val="center"/>
          </w:tcPr>
          <w:p w14:paraId="06C4BC46" w14:textId="5B9AAD3E" w:rsidR="00860545" w:rsidRPr="001E6788" w:rsidRDefault="00B04FFA" w:rsidP="006B0D6C">
            <w:pPr>
              <w:spacing w:before="0" w:after="0" w:line="276" w:lineRule="auto"/>
            </w:pPr>
            <w:r>
              <w:t>DVI-02</w:t>
            </w:r>
          </w:p>
        </w:tc>
        <w:tc>
          <w:tcPr>
            <w:tcW w:w="7873" w:type="dxa"/>
            <w:vAlign w:val="center"/>
          </w:tcPr>
          <w:p w14:paraId="44778885" w14:textId="7469EF73" w:rsidR="00860545" w:rsidRPr="001E6788" w:rsidRDefault="00B04FFA" w:rsidP="006B0D6C">
            <w:pPr>
              <w:spacing w:before="0" w:after="0" w:line="276" w:lineRule="auto"/>
            </w:pPr>
            <w:r w:rsidRPr="00B04FFA">
              <w:t>Zakon o osiguravanju kvalitete u visokom obrazovanju i znanosti</w:t>
            </w:r>
          </w:p>
        </w:tc>
      </w:tr>
      <w:tr w:rsidR="001E6788" w:rsidRPr="001E6788" w14:paraId="54D8DC54" w14:textId="77777777" w:rsidTr="00514043">
        <w:tc>
          <w:tcPr>
            <w:tcW w:w="1199" w:type="dxa"/>
            <w:vAlign w:val="center"/>
          </w:tcPr>
          <w:p w14:paraId="438F2E82" w14:textId="77777777" w:rsidR="001E6788" w:rsidRPr="001E6788" w:rsidRDefault="001E6788" w:rsidP="006B0D6C">
            <w:pPr>
              <w:spacing w:before="0" w:after="0" w:line="276" w:lineRule="auto"/>
            </w:pPr>
            <w:r w:rsidRPr="001E6788">
              <w:t>DVI-10</w:t>
            </w:r>
          </w:p>
        </w:tc>
        <w:tc>
          <w:tcPr>
            <w:tcW w:w="7873" w:type="dxa"/>
            <w:vAlign w:val="center"/>
          </w:tcPr>
          <w:p w14:paraId="66F80B5D" w14:textId="77777777" w:rsidR="001E6788" w:rsidRPr="001E6788" w:rsidRDefault="001E6788" w:rsidP="006B0D6C">
            <w:pPr>
              <w:spacing w:before="0" w:after="0" w:line="276" w:lineRule="auto"/>
            </w:pPr>
            <w:r w:rsidRPr="001E6788">
              <w:t>Standardi i smjernice za osiguravanje kvalitete na Europskom prostoru visokog obrazovanja (ESG)</w:t>
            </w:r>
          </w:p>
        </w:tc>
      </w:tr>
      <w:tr w:rsidR="001E6788" w:rsidRPr="001E6788" w14:paraId="1A6C8C0E" w14:textId="77777777" w:rsidTr="00514043">
        <w:tc>
          <w:tcPr>
            <w:tcW w:w="1199" w:type="dxa"/>
            <w:vAlign w:val="center"/>
          </w:tcPr>
          <w:p w14:paraId="1E8971C9" w14:textId="77777777" w:rsidR="001E6788" w:rsidRPr="001E6788" w:rsidRDefault="001E6788" w:rsidP="006B0D6C">
            <w:pPr>
              <w:spacing w:before="0" w:after="0" w:line="276" w:lineRule="auto"/>
            </w:pPr>
            <w:r w:rsidRPr="001E6788">
              <w:t>DVI-11</w:t>
            </w:r>
          </w:p>
        </w:tc>
        <w:tc>
          <w:tcPr>
            <w:tcW w:w="7873" w:type="dxa"/>
            <w:vAlign w:val="center"/>
          </w:tcPr>
          <w:p w14:paraId="19DEFBBF" w14:textId="77777777" w:rsidR="001E6788" w:rsidRPr="001E6788" w:rsidRDefault="001E6788" w:rsidP="006B0D6C">
            <w:pPr>
              <w:spacing w:before="0" w:after="0" w:line="276" w:lineRule="auto"/>
            </w:pPr>
            <w:r w:rsidRPr="001E6788">
              <w:t>ISO 9001:2015 Zahtjevi sustava upravljanja kvalitetom</w:t>
            </w:r>
          </w:p>
        </w:tc>
      </w:tr>
      <w:tr w:rsidR="001E6788" w:rsidRPr="001E6788" w14:paraId="4572087E" w14:textId="77777777" w:rsidTr="00514043">
        <w:tc>
          <w:tcPr>
            <w:tcW w:w="1199" w:type="dxa"/>
            <w:vAlign w:val="center"/>
          </w:tcPr>
          <w:p w14:paraId="5145BB5E" w14:textId="77777777" w:rsidR="001E6788" w:rsidRPr="001E6788" w:rsidRDefault="001E6788" w:rsidP="006B0D6C">
            <w:pPr>
              <w:spacing w:before="0" w:after="0" w:line="276" w:lineRule="auto"/>
            </w:pPr>
            <w:r w:rsidRPr="001E6788">
              <w:t>DVI-12</w:t>
            </w:r>
          </w:p>
        </w:tc>
        <w:tc>
          <w:tcPr>
            <w:tcW w:w="7873" w:type="dxa"/>
            <w:vAlign w:val="center"/>
          </w:tcPr>
          <w:p w14:paraId="7B31ED85" w14:textId="77777777" w:rsidR="001E6788" w:rsidRPr="001E6788" w:rsidRDefault="001E6788" w:rsidP="006B0D6C">
            <w:pPr>
              <w:spacing w:before="0" w:after="0" w:line="276" w:lineRule="auto"/>
            </w:pPr>
            <w:r w:rsidRPr="001E6788">
              <w:t>Standardi kvalitete za vrednovanje u postupku reakreditacije visokih učilišta</w:t>
            </w:r>
          </w:p>
        </w:tc>
      </w:tr>
      <w:tr w:rsidR="00514043" w:rsidRPr="001E6788" w14:paraId="3E38963E" w14:textId="77777777" w:rsidTr="00514043">
        <w:tc>
          <w:tcPr>
            <w:tcW w:w="1199" w:type="dxa"/>
            <w:vAlign w:val="center"/>
          </w:tcPr>
          <w:p w14:paraId="34BDE514" w14:textId="77777777" w:rsidR="00514043" w:rsidRPr="001E6788" w:rsidRDefault="00514043" w:rsidP="006B0D6C">
            <w:pPr>
              <w:spacing w:before="0" w:after="0" w:line="276" w:lineRule="auto"/>
            </w:pPr>
            <w:r w:rsidRPr="001E6788">
              <w:t>SOP-05</w:t>
            </w:r>
          </w:p>
        </w:tc>
        <w:tc>
          <w:tcPr>
            <w:tcW w:w="7873" w:type="dxa"/>
            <w:vAlign w:val="center"/>
          </w:tcPr>
          <w:p w14:paraId="7409FCEA" w14:textId="77777777" w:rsidR="00514043" w:rsidRPr="001E6788" w:rsidRDefault="00514043" w:rsidP="006B0D6C">
            <w:pPr>
              <w:spacing w:before="0" w:after="0" w:line="276" w:lineRule="auto"/>
            </w:pPr>
            <w:r w:rsidRPr="001E6788">
              <w:t>Popravne radnje i prijedlozi za poboljšanja</w:t>
            </w:r>
          </w:p>
        </w:tc>
      </w:tr>
      <w:tr w:rsidR="00514043" w:rsidRPr="001E6788" w14:paraId="0D702E95" w14:textId="77777777" w:rsidTr="00514043">
        <w:tc>
          <w:tcPr>
            <w:tcW w:w="1199" w:type="dxa"/>
            <w:vAlign w:val="center"/>
          </w:tcPr>
          <w:p w14:paraId="1BE89E78" w14:textId="77777777" w:rsidR="00514043" w:rsidRPr="001E6788" w:rsidRDefault="00514043" w:rsidP="006B0D6C">
            <w:pPr>
              <w:spacing w:before="0" w:after="0" w:line="276" w:lineRule="auto"/>
            </w:pPr>
            <w:r w:rsidRPr="001E6788">
              <w:t>SOP-24</w:t>
            </w:r>
          </w:p>
        </w:tc>
        <w:tc>
          <w:tcPr>
            <w:tcW w:w="7873" w:type="dxa"/>
            <w:vAlign w:val="center"/>
          </w:tcPr>
          <w:p w14:paraId="4614222F" w14:textId="77777777" w:rsidR="00514043" w:rsidRPr="001E6788" w:rsidRDefault="00514043" w:rsidP="006B0D6C">
            <w:pPr>
              <w:spacing w:before="0" w:after="0" w:line="276" w:lineRule="auto"/>
            </w:pPr>
            <w:r w:rsidRPr="001E6788">
              <w:t>Upravljanje nesukladnom uslugom</w:t>
            </w:r>
          </w:p>
        </w:tc>
      </w:tr>
      <w:tr w:rsidR="00514043" w:rsidRPr="001E6788" w14:paraId="4E66F9F8" w14:textId="77777777" w:rsidTr="00514043">
        <w:tc>
          <w:tcPr>
            <w:tcW w:w="1199" w:type="dxa"/>
            <w:vAlign w:val="center"/>
          </w:tcPr>
          <w:p w14:paraId="23B7C4E0" w14:textId="77777777" w:rsidR="00514043" w:rsidRPr="001E6788" w:rsidRDefault="00514043" w:rsidP="006B0D6C">
            <w:pPr>
              <w:spacing w:before="0" w:after="0" w:line="276" w:lineRule="auto"/>
            </w:pPr>
            <w:r w:rsidRPr="001E6788">
              <w:t>OB-0033</w:t>
            </w:r>
          </w:p>
        </w:tc>
        <w:tc>
          <w:tcPr>
            <w:tcW w:w="7873" w:type="dxa"/>
            <w:vAlign w:val="center"/>
          </w:tcPr>
          <w:p w14:paraId="5C08886F" w14:textId="77777777" w:rsidR="00514043" w:rsidRPr="001E6788" w:rsidRDefault="00514043" w:rsidP="006B0D6C">
            <w:pPr>
              <w:spacing w:before="0" w:after="0" w:line="276" w:lineRule="auto"/>
            </w:pPr>
            <w:r w:rsidRPr="001E6788">
              <w:t>Izvješće o provedenoj unutarnjoj prosudbi</w:t>
            </w:r>
          </w:p>
        </w:tc>
      </w:tr>
      <w:tr w:rsidR="00514043" w:rsidRPr="001E6788" w14:paraId="06CDAB6E" w14:textId="77777777" w:rsidTr="00514043">
        <w:tc>
          <w:tcPr>
            <w:tcW w:w="1199" w:type="dxa"/>
            <w:vAlign w:val="center"/>
          </w:tcPr>
          <w:p w14:paraId="5F906B4B" w14:textId="77777777" w:rsidR="00514043" w:rsidRPr="001E6788" w:rsidRDefault="00514043" w:rsidP="006B0D6C">
            <w:pPr>
              <w:spacing w:before="0" w:after="0" w:line="276" w:lineRule="auto"/>
            </w:pPr>
            <w:r w:rsidRPr="001E6788">
              <w:t>OB-0013</w:t>
            </w:r>
          </w:p>
        </w:tc>
        <w:tc>
          <w:tcPr>
            <w:tcW w:w="7873" w:type="dxa"/>
            <w:vAlign w:val="center"/>
          </w:tcPr>
          <w:p w14:paraId="42711209" w14:textId="77777777" w:rsidR="00514043" w:rsidRPr="001E6788" w:rsidRDefault="00514043" w:rsidP="006B0D6C">
            <w:pPr>
              <w:spacing w:before="0" w:after="0" w:line="276" w:lineRule="auto"/>
            </w:pPr>
            <w:r w:rsidRPr="001E6788">
              <w:t>Izvješće o nesukladnosti ili poboljšanju</w:t>
            </w:r>
          </w:p>
        </w:tc>
      </w:tr>
    </w:tbl>
    <w:p w14:paraId="3DB8EADA" w14:textId="7CA86DE5" w:rsidR="001E6788" w:rsidRDefault="00542349" w:rsidP="00F26E78">
      <w:pPr>
        <w:pStyle w:val="Podnaslov"/>
        <w:rPr>
          <w:rFonts w:eastAsia="Calibri"/>
        </w:rPr>
      </w:pPr>
      <w:r w:rsidRPr="00542349">
        <w:rPr>
          <w:rFonts w:eastAsia="Calibri"/>
        </w:rPr>
        <w:t>Članak 9.</w:t>
      </w:r>
    </w:p>
    <w:p w14:paraId="3F7267ED" w14:textId="50876177" w:rsidR="00C7319F" w:rsidRDefault="00C7319F" w:rsidP="00542349">
      <w:r>
        <w:t xml:space="preserve">Ovaj Pravilnik </w:t>
      </w:r>
      <w:r w:rsidRPr="00C7319F">
        <w:t>stupa na snagu osmog dana od dana objavljivanja na mrežnim stranicama Veleučilišta</w:t>
      </w:r>
      <w:r>
        <w:t>.</w:t>
      </w:r>
    </w:p>
    <w:p w14:paraId="3EE78DC4" w14:textId="2A790D2E" w:rsidR="00514043" w:rsidRDefault="00514043" w:rsidP="00542349">
      <w:r>
        <w:t xml:space="preserve">Stupanjem na snagu ovog Pravilnika prestaje važiti SOP-36-02 </w:t>
      </w:r>
      <w:r w:rsidR="00E426C4">
        <w:t>Unutarnja prosudba, usvojen O</w:t>
      </w:r>
      <w:r w:rsidR="008171C3">
        <w:t>dluk</w:t>
      </w:r>
      <w:r w:rsidR="00E426C4">
        <w:t>om</w:t>
      </w:r>
      <w:r w:rsidR="008171C3">
        <w:t xml:space="preserve"> Vijeća Veleučilišta br. 5669-6/23 </w:t>
      </w:r>
      <w:r>
        <w:t>od</w:t>
      </w:r>
      <w:r w:rsidR="008171C3">
        <w:t xml:space="preserve"> 23. ožujka 2023. godine.</w:t>
      </w:r>
      <w:r>
        <w:t xml:space="preserve"> </w:t>
      </w:r>
    </w:p>
    <w:p w14:paraId="32247E44" w14:textId="77777777" w:rsidR="00E426C4" w:rsidRDefault="00E426C4" w:rsidP="00542349"/>
    <w:p w14:paraId="5ABD1E5B" w14:textId="77777777" w:rsidR="00255C7D" w:rsidRDefault="00255C7D" w:rsidP="00542349"/>
    <w:p w14:paraId="0AD54A6F" w14:textId="339534CE" w:rsidR="00CB3B15" w:rsidRDefault="00CB3B15" w:rsidP="00B43291">
      <w:pPr>
        <w:spacing w:before="0" w:after="0"/>
      </w:pPr>
      <w:r w:rsidRPr="00CB3B15">
        <w:t xml:space="preserve">KLASA: </w:t>
      </w:r>
    </w:p>
    <w:p w14:paraId="176D32A8" w14:textId="7E178A50" w:rsidR="00CB3B15" w:rsidRPr="00CB3B15" w:rsidRDefault="00CB3B15" w:rsidP="00B43291">
      <w:pPr>
        <w:spacing w:before="0" w:after="0"/>
      </w:pPr>
      <w:r w:rsidRPr="00CB3B15">
        <w:t xml:space="preserve">URBROJ: </w:t>
      </w:r>
    </w:p>
    <w:p w14:paraId="61E27835" w14:textId="68222A34" w:rsidR="00C7319F" w:rsidRPr="001E6788" w:rsidRDefault="00CB3B15" w:rsidP="00B43291">
      <w:pPr>
        <w:spacing w:before="0" w:after="0"/>
      </w:pPr>
      <w:r w:rsidRPr="00CB3B15">
        <w:t xml:space="preserve">U Zagrebu, </w:t>
      </w:r>
    </w:p>
    <w:p w14:paraId="16FB9649" w14:textId="77777777" w:rsidR="001E6788" w:rsidRDefault="001E6788" w:rsidP="0028530A">
      <w:pPr>
        <w:widowControl w:val="0"/>
        <w:ind w:firstLine="737"/>
        <w:rPr>
          <w:rFonts w:ascii="Times New Roman" w:eastAsia="Calibri" w:hAnsi="Times New Roman" w:cs="Arial"/>
          <w:sz w:val="24"/>
        </w:rPr>
      </w:pPr>
    </w:p>
    <w:p w14:paraId="6067B92E" w14:textId="77777777" w:rsidR="00E426C4" w:rsidRDefault="00E426C4" w:rsidP="0028530A">
      <w:pPr>
        <w:widowControl w:val="0"/>
        <w:ind w:firstLine="737"/>
        <w:rPr>
          <w:rFonts w:ascii="Times New Roman" w:eastAsia="Calibri" w:hAnsi="Times New Roman" w:cs="Arial"/>
          <w:sz w:val="24"/>
        </w:rPr>
      </w:pPr>
    </w:p>
    <w:p w14:paraId="2E307B3F" w14:textId="53427BA5" w:rsidR="00E426C4" w:rsidRDefault="00E426C4" w:rsidP="00B43291">
      <w:pPr>
        <w:spacing w:after="0"/>
        <w:ind w:left="6372" w:firstLine="708"/>
      </w:pPr>
      <w:r>
        <w:t xml:space="preserve">Dekanica </w:t>
      </w:r>
    </w:p>
    <w:p w14:paraId="45FDB4CF" w14:textId="0BBB079A" w:rsidR="00E426C4" w:rsidRPr="001E6788" w:rsidRDefault="00E426C4" w:rsidP="00B43291">
      <w:pPr>
        <w:spacing w:after="0"/>
        <w:ind w:left="5664" w:firstLine="708"/>
      </w:pPr>
      <w:r>
        <w:t>Prof. dr. sc. Jana Žiljak Gršić</w:t>
      </w:r>
    </w:p>
    <w:p w14:paraId="4CC123DE" w14:textId="77777777" w:rsidR="001E6788" w:rsidRPr="001E6788" w:rsidRDefault="001E6788" w:rsidP="0028530A">
      <w:pPr>
        <w:widowControl w:val="0"/>
        <w:rPr>
          <w:rFonts w:ascii="Times New Roman" w:eastAsia="Calibri" w:hAnsi="Times New Roman" w:cs="Arial"/>
          <w:sz w:val="24"/>
        </w:rPr>
      </w:pPr>
    </w:p>
    <w:p w14:paraId="329285F3" w14:textId="77777777" w:rsidR="001E6788" w:rsidRDefault="001E6788" w:rsidP="0028530A"/>
    <w:sectPr w:rsidR="001E678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4C21" w14:textId="77777777" w:rsidR="00373BDA" w:rsidRDefault="00373BDA" w:rsidP="00514043">
      <w:pPr>
        <w:spacing w:before="0" w:after="0"/>
      </w:pPr>
      <w:r>
        <w:separator/>
      </w:r>
    </w:p>
  </w:endnote>
  <w:endnote w:type="continuationSeparator" w:id="0">
    <w:p w14:paraId="56348B84" w14:textId="77777777" w:rsidR="00373BDA" w:rsidRDefault="00373BDA" w:rsidP="005140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6580960"/>
      <w:docPartObj>
        <w:docPartGallery w:val="Page Numbers (Bottom of Page)"/>
        <w:docPartUnique/>
      </w:docPartObj>
    </w:sdtPr>
    <w:sdtContent>
      <w:p w14:paraId="2E351DA8" w14:textId="05B63C50" w:rsidR="00514043" w:rsidRDefault="0051404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5F69" w14:textId="77777777" w:rsidR="00514043" w:rsidRDefault="005140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07A8" w14:textId="77777777" w:rsidR="00373BDA" w:rsidRDefault="00373BDA" w:rsidP="00514043">
      <w:pPr>
        <w:spacing w:before="0" w:after="0"/>
      </w:pPr>
      <w:r>
        <w:separator/>
      </w:r>
    </w:p>
  </w:footnote>
  <w:footnote w:type="continuationSeparator" w:id="0">
    <w:p w14:paraId="033F546C" w14:textId="77777777" w:rsidR="00373BDA" w:rsidRDefault="00373BDA" w:rsidP="0051404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7D53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FB7A42"/>
    <w:multiLevelType w:val="hybridMultilevel"/>
    <w:tmpl w:val="54A6DB8C"/>
    <w:lvl w:ilvl="0" w:tplc="09D6D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23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B80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2B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C4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A1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7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AA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60C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42D6B"/>
    <w:multiLevelType w:val="hybridMultilevel"/>
    <w:tmpl w:val="2FA06B7C"/>
    <w:lvl w:ilvl="0" w:tplc="01768B86">
      <w:start w:val="1"/>
      <w:numFmt w:val="decimal"/>
      <w:pStyle w:val="Naslov3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F5B2F"/>
    <w:multiLevelType w:val="hybridMultilevel"/>
    <w:tmpl w:val="BE9AD146"/>
    <w:lvl w:ilvl="0" w:tplc="8122812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07CFA"/>
    <w:multiLevelType w:val="hybridMultilevel"/>
    <w:tmpl w:val="9DA09B30"/>
    <w:lvl w:ilvl="0" w:tplc="00C00E2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D08DD"/>
    <w:multiLevelType w:val="hybridMultilevel"/>
    <w:tmpl w:val="D10AF3BC"/>
    <w:lvl w:ilvl="0" w:tplc="00C00E2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43A5B"/>
    <w:multiLevelType w:val="hybridMultilevel"/>
    <w:tmpl w:val="09045E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8328F"/>
    <w:multiLevelType w:val="hybridMultilevel"/>
    <w:tmpl w:val="CE44BC06"/>
    <w:lvl w:ilvl="0" w:tplc="EDD6F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682F"/>
    <w:multiLevelType w:val="hybridMultilevel"/>
    <w:tmpl w:val="213ED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2149E"/>
    <w:multiLevelType w:val="hybridMultilevel"/>
    <w:tmpl w:val="38A4600C"/>
    <w:lvl w:ilvl="0" w:tplc="041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49BB3EF7"/>
    <w:multiLevelType w:val="hybridMultilevel"/>
    <w:tmpl w:val="B8BEC8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E2E36"/>
    <w:multiLevelType w:val="hybridMultilevel"/>
    <w:tmpl w:val="378C7B48"/>
    <w:lvl w:ilvl="0" w:tplc="EDD6F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A300B"/>
    <w:multiLevelType w:val="hybridMultilevel"/>
    <w:tmpl w:val="7F0450CC"/>
    <w:lvl w:ilvl="0" w:tplc="230CF2D4">
      <w:start w:val="1"/>
      <w:numFmt w:val="upperRoman"/>
      <w:pStyle w:val="Naslov2"/>
      <w:lvlText w:val="%1."/>
      <w:lvlJc w:val="righ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15AA9"/>
    <w:multiLevelType w:val="hybridMultilevel"/>
    <w:tmpl w:val="8DFEE4C0"/>
    <w:lvl w:ilvl="0" w:tplc="EDD6F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5798A"/>
    <w:multiLevelType w:val="hybridMultilevel"/>
    <w:tmpl w:val="70DE98C8"/>
    <w:lvl w:ilvl="0" w:tplc="00C00E2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23D73"/>
    <w:multiLevelType w:val="hybridMultilevel"/>
    <w:tmpl w:val="482AD82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45C7E"/>
    <w:multiLevelType w:val="hybridMultilevel"/>
    <w:tmpl w:val="44F4A0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135F4"/>
    <w:multiLevelType w:val="hybridMultilevel"/>
    <w:tmpl w:val="27566ACA"/>
    <w:lvl w:ilvl="0" w:tplc="26BA2EF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4875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63843268">
    <w:abstractNumId w:val="1"/>
  </w:num>
  <w:num w:numId="2" w16cid:durableId="2028629561">
    <w:abstractNumId w:val="10"/>
  </w:num>
  <w:num w:numId="3" w16cid:durableId="1305238975">
    <w:abstractNumId w:val="5"/>
  </w:num>
  <w:num w:numId="4" w16cid:durableId="1977759284">
    <w:abstractNumId w:val="6"/>
  </w:num>
  <w:num w:numId="5" w16cid:durableId="1713649748">
    <w:abstractNumId w:val="9"/>
  </w:num>
  <w:num w:numId="6" w16cid:durableId="68312269">
    <w:abstractNumId w:val="14"/>
  </w:num>
  <w:num w:numId="7" w16cid:durableId="1411466597">
    <w:abstractNumId w:val="15"/>
  </w:num>
  <w:num w:numId="8" w16cid:durableId="275912357">
    <w:abstractNumId w:val="12"/>
  </w:num>
  <w:num w:numId="9" w16cid:durableId="207110392">
    <w:abstractNumId w:val="4"/>
  </w:num>
  <w:num w:numId="10" w16cid:durableId="440032698">
    <w:abstractNumId w:val="16"/>
  </w:num>
  <w:num w:numId="11" w16cid:durableId="808782752">
    <w:abstractNumId w:val="0"/>
  </w:num>
  <w:num w:numId="12" w16cid:durableId="1681155899">
    <w:abstractNumId w:val="18"/>
  </w:num>
  <w:num w:numId="13" w16cid:durableId="349993919">
    <w:abstractNumId w:val="2"/>
  </w:num>
  <w:num w:numId="14" w16cid:durableId="734086130">
    <w:abstractNumId w:val="11"/>
  </w:num>
  <w:num w:numId="15" w16cid:durableId="227695864">
    <w:abstractNumId w:val="13"/>
  </w:num>
  <w:num w:numId="16" w16cid:durableId="1580169274">
    <w:abstractNumId w:val="7"/>
  </w:num>
  <w:num w:numId="17" w16cid:durableId="1105080694">
    <w:abstractNumId w:val="8"/>
  </w:num>
  <w:num w:numId="18" w16cid:durableId="2045252201">
    <w:abstractNumId w:val="17"/>
  </w:num>
  <w:num w:numId="19" w16cid:durableId="1860849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8"/>
    <w:rsid w:val="00086455"/>
    <w:rsid w:val="000D503E"/>
    <w:rsid w:val="0014412B"/>
    <w:rsid w:val="001E6788"/>
    <w:rsid w:val="0020643F"/>
    <w:rsid w:val="00255C7D"/>
    <w:rsid w:val="0028530A"/>
    <w:rsid w:val="00307995"/>
    <w:rsid w:val="00373BDA"/>
    <w:rsid w:val="00376C34"/>
    <w:rsid w:val="003A1CD7"/>
    <w:rsid w:val="003B5590"/>
    <w:rsid w:val="003F20D2"/>
    <w:rsid w:val="003F2DB6"/>
    <w:rsid w:val="003F3899"/>
    <w:rsid w:val="004903AD"/>
    <w:rsid w:val="004B4AE9"/>
    <w:rsid w:val="004D168E"/>
    <w:rsid w:val="00504910"/>
    <w:rsid w:val="00512F40"/>
    <w:rsid w:val="00514043"/>
    <w:rsid w:val="00514E2C"/>
    <w:rsid w:val="00542349"/>
    <w:rsid w:val="005857DF"/>
    <w:rsid w:val="00590F97"/>
    <w:rsid w:val="005A0053"/>
    <w:rsid w:val="005B1662"/>
    <w:rsid w:val="0061735B"/>
    <w:rsid w:val="006664C9"/>
    <w:rsid w:val="006B0D6C"/>
    <w:rsid w:val="006F0C8B"/>
    <w:rsid w:val="00711B3B"/>
    <w:rsid w:val="0073602D"/>
    <w:rsid w:val="00810B86"/>
    <w:rsid w:val="008171C3"/>
    <w:rsid w:val="00827A35"/>
    <w:rsid w:val="00860545"/>
    <w:rsid w:val="00975197"/>
    <w:rsid w:val="009763F0"/>
    <w:rsid w:val="009850E9"/>
    <w:rsid w:val="009D2ADC"/>
    <w:rsid w:val="00A470E3"/>
    <w:rsid w:val="00B04FFA"/>
    <w:rsid w:val="00B43291"/>
    <w:rsid w:val="00B67A6B"/>
    <w:rsid w:val="00C7319F"/>
    <w:rsid w:val="00C9478E"/>
    <w:rsid w:val="00CA0563"/>
    <w:rsid w:val="00CB3B15"/>
    <w:rsid w:val="00CB688A"/>
    <w:rsid w:val="00D43BC1"/>
    <w:rsid w:val="00D43E7F"/>
    <w:rsid w:val="00D47FCB"/>
    <w:rsid w:val="00D8578F"/>
    <w:rsid w:val="00DF3AFB"/>
    <w:rsid w:val="00E03AAD"/>
    <w:rsid w:val="00E17A0A"/>
    <w:rsid w:val="00E426C4"/>
    <w:rsid w:val="00E44BEC"/>
    <w:rsid w:val="00F01866"/>
    <w:rsid w:val="00F26E78"/>
    <w:rsid w:val="00F37439"/>
    <w:rsid w:val="00F87ABD"/>
    <w:rsid w:val="00FD7736"/>
    <w:rsid w:val="0A7A87D5"/>
    <w:rsid w:val="0A9AC82D"/>
    <w:rsid w:val="0E5DD9B2"/>
    <w:rsid w:val="0EDBBDDF"/>
    <w:rsid w:val="134DAB1F"/>
    <w:rsid w:val="1426B319"/>
    <w:rsid w:val="14C3472C"/>
    <w:rsid w:val="15997674"/>
    <w:rsid w:val="175E53DB"/>
    <w:rsid w:val="184A2948"/>
    <w:rsid w:val="18786A8C"/>
    <w:rsid w:val="18FA243C"/>
    <w:rsid w:val="1C0F43BD"/>
    <w:rsid w:val="1CDD9112"/>
    <w:rsid w:val="1EDEAD99"/>
    <w:rsid w:val="21E66F18"/>
    <w:rsid w:val="2214561D"/>
    <w:rsid w:val="22A10682"/>
    <w:rsid w:val="23B0267E"/>
    <w:rsid w:val="23D9502A"/>
    <w:rsid w:val="28CFB566"/>
    <w:rsid w:val="295E93C7"/>
    <w:rsid w:val="2C55317C"/>
    <w:rsid w:val="2CB9FEC0"/>
    <w:rsid w:val="3031171A"/>
    <w:rsid w:val="314920BB"/>
    <w:rsid w:val="37C7B245"/>
    <w:rsid w:val="39BE6D57"/>
    <w:rsid w:val="3A5F24B7"/>
    <w:rsid w:val="3D279145"/>
    <w:rsid w:val="3FDDC6E2"/>
    <w:rsid w:val="41EAF8CB"/>
    <w:rsid w:val="44668EC1"/>
    <w:rsid w:val="449ED2CD"/>
    <w:rsid w:val="45C02B24"/>
    <w:rsid w:val="4683C802"/>
    <w:rsid w:val="46BE69EE"/>
    <w:rsid w:val="48623172"/>
    <w:rsid w:val="49CD3B13"/>
    <w:rsid w:val="4B31A092"/>
    <w:rsid w:val="4BA1BFBA"/>
    <w:rsid w:val="4DC456CB"/>
    <w:rsid w:val="4EC5D073"/>
    <w:rsid w:val="4ED9607C"/>
    <w:rsid w:val="500C2516"/>
    <w:rsid w:val="50EA7C35"/>
    <w:rsid w:val="5283C6F6"/>
    <w:rsid w:val="530785BD"/>
    <w:rsid w:val="53ACD19F"/>
    <w:rsid w:val="542A1732"/>
    <w:rsid w:val="575988E2"/>
    <w:rsid w:val="57D83554"/>
    <w:rsid w:val="58B00C3D"/>
    <w:rsid w:val="5A1C1323"/>
    <w:rsid w:val="5A630250"/>
    <w:rsid w:val="5B545CCB"/>
    <w:rsid w:val="5B6388FF"/>
    <w:rsid w:val="5BFED2B1"/>
    <w:rsid w:val="5D80D0FE"/>
    <w:rsid w:val="5DBF0906"/>
    <w:rsid w:val="60010D72"/>
    <w:rsid w:val="60D243D4"/>
    <w:rsid w:val="6208C2F7"/>
    <w:rsid w:val="634189E6"/>
    <w:rsid w:val="658AF903"/>
    <w:rsid w:val="6A01A203"/>
    <w:rsid w:val="6BF1CCE6"/>
    <w:rsid w:val="6E8B6172"/>
    <w:rsid w:val="6F021C3B"/>
    <w:rsid w:val="6FBDC165"/>
    <w:rsid w:val="6FE042A6"/>
    <w:rsid w:val="71C30234"/>
    <w:rsid w:val="737640FF"/>
    <w:rsid w:val="73EFF75B"/>
    <w:rsid w:val="7416E2AE"/>
    <w:rsid w:val="79EFC943"/>
    <w:rsid w:val="7F2BD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91E7"/>
  <w15:chartTrackingRefBased/>
  <w15:docId w15:val="{5B15CDAC-1DA3-4C7E-B723-296821C0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62"/>
    <w:pPr>
      <w:spacing w:before="120" w:after="120" w:line="240" w:lineRule="auto"/>
      <w:jc w:val="both"/>
    </w:pPr>
  </w:style>
  <w:style w:type="paragraph" w:styleId="Naslov1">
    <w:name w:val="heading 1"/>
    <w:basedOn w:val="Normal"/>
    <w:next w:val="Normal"/>
    <w:link w:val="Naslov1Char"/>
    <w:uiPriority w:val="9"/>
    <w:qFormat/>
    <w:rsid w:val="001E6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B0D6C"/>
    <w:pPr>
      <w:keepNext/>
      <w:keepLines/>
      <w:numPr>
        <w:numId w:val="8"/>
      </w:numPr>
      <w:spacing w:before="240" w:after="160"/>
      <w:ind w:left="714" w:hanging="357"/>
      <w:outlineLvl w:val="1"/>
    </w:pPr>
    <w:rPr>
      <w:rFonts w:ascii="Aptos" w:eastAsiaTheme="majorEastAsia" w:hAnsi="Aptos" w:cstheme="majorBidi"/>
      <w:b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27A35"/>
    <w:pPr>
      <w:keepNext/>
      <w:keepLines/>
      <w:numPr>
        <w:numId w:val="13"/>
      </w:numPr>
      <w:spacing w:before="160" w:after="160"/>
      <w:outlineLvl w:val="2"/>
    </w:pPr>
    <w:rPr>
      <w:rFonts w:ascii="Aptos" w:eastAsiaTheme="majorEastAsia" w:hAnsi="Aptos" w:cstheme="majorBidi"/>
      <w:b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6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6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6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6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6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6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6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6B0D6C"/>
    <w:rPr>
      <w:rFonts w:ascii="Aptos" w:eastAsiaTheme="majorEastAsia" w:hAnsi="Aptos" w:cstheme="majorBidi"/>
      <w:b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827A35"/>
    <w:rPr>
      <w:rFonts w:ascii="Aptos" w:eastAsiaTheme="majorEastAsia" w:hAnsi="Aptos" w:cstheme="majorBidi"/>
      <w:b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67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678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67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67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67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67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1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6E78"/>
    <w:pPr>
      <w:numPr>
        <w:ilvl w:val="1"/>
      </w:numPr>
      <w:jc w:val="center"/>
    </w:pPr>
    <w:rPr>
      <w:rFonts w:eastAsiaTheme="majorEastAsia" w:cstheme="majorBidi"/>
      <w:b/>
      <w:spacing w:val="15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26E78"/>
    <w:rPr>
      <w:rFonts w:eastAsiaTheme="majorEastAsia" w:cstheme="majorBidi"/>
      <w:b/>
      <w:spacing w:val="15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6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67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26E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678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6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678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678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E67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4043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043"/>
  </w:style>
  <w:style w:type="paragraph" w:styleId="Podnoje">
    <w:name w:val="footer"/>
    <w:basedOn w:val="Normal"/>
    <w:link w:val="PodnojeChar"/>
    <w:uiPriority w:val="99"/>
    <w:unhideWhenUsed/>
    <w:rsid w:val="00514043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043"/>
  </w:style>
  <w:style w:type="character" w:styleId="Referencakomentara">
    <w:name w:val="annotation reference"/>
    <w:basedOn w:val="Zadanifontodlomka"/>
    <w:uiPriority w:val="99"/>
    <w:semiHidden/>
    <w:unhideWhenUsed/>
    <w:rsid w:val="006664C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664C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664C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664C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664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ec7422f2-9c8e-42d9-ae70-bf60dbf758ea">Revidirana verzija</Status>
    <Proces xmlns="ec7422f2-9c8e-42d9-ae70-bf60dbf758ea">Upravljanje kvalitetom</Proces>
    <Rok_x010d_uvanjadokumenata xmlns="ec7422f2-9c8e-42d9-ae70-bf60dbf758ea" xsi:nil="true"/>
    <Vrsta xmlns="ec7422f2-9c8e-42d9-ae70-bf60dbf758ea">Pravilnik</Vrsta>
    <Po_x010d_etak_x0020_primjene xmlns="ec7422f2-9c8e-42d9-ae70-bf60dbf758ea" xsi:nil="true"/>
    <Rok_x010d_uvanja xmlns="ec7422f2-9c8e-42d9-ae70-bf60dbf758ea" xsi:nil="true"/>
    <Oznaka xmlns="ec7422f2-9c8e-42d9-ae70-bf60dbf758ea">PRV-39-01 </Oznaka>
    <Kategorija xmlns="ec7422f2-9c8e-42d9-ae70-bf60dbf758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50BE6A2332E49B63857CE3B3B0783" ma:contentTypeVersion="17" ma:contentTypeDescription="Create a new document." ma:contentTypeScope="" ma:versionID="c902e2a82908dd0b4495e19644f30ca8">
  <xsd:schema xmlns:xsd="http://www.w3.org/2001/XMLSchema" xmlns:xs="http://www.w3.org/2001/XMLSchema" xmlns:p="http://schemas.microsoft.com/office/2006/metadata/properties" xmlns:ns2="ec7422f2-9c8e-42d9-ae70-bf60dbf758ea" xmlns:ns3="12c6ef67-a51e-42fb-bc0b-7d12875cffcd" targetNamespace="http://schemas.microsoft.com/office/2006/metadata/properties" ma:root="true" ma:fieldsID="71cfc65bacc44e1bff42949cba63aa48" ns2:_="" ns3:_="">
    <xsd:import namespace="ec7422f2-9c8e-42d9-ae70-bf60dbf758ea"/>
    <xsd:import namespace="12c6ef67-a51e-42fb-bc0b-7d12875cffcd"/>
    <xsd:element name="properties">
      <xsd:complexType>
        <xsd:sequence>
          <xsd:element name="documentManagement">
            <xsd:complexType>
              <xsd:all>
                <xsd:element ref="ns2:Oznaka"/>
                <xsd:element ref="ns2:Status"/>
                <xsd:element ref="ns2:Po_x010d_etak_x0020_primjene" minOccurs="0"/>
                <xsd:element ref="ns2:Vrsta" minOccurs="0"/>
                <xsd:element ref="ns2:Proces" minOccurs="0"/>
                <xsd:element ref="ns2:Rok_x010d_uvanjadokumenata" minOccurs="0"/>
                <xsd:element ref="ns2:Kategorija" minOccurs="0"/>
                <xsd:element ref="ns2:Rok_x010d_uvanja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422f2-9c8e-42d9-ae70-bf60dbf758ea" elementFormDefault="qualified">
    <xsd:import namespace="http://schemas.microsoft.com/office/2006/documentManagement/types"/>
    <xsd:import namespace="http://schemas.microsoft.com/office/infopath/2007/PartnerControls"/>
    <xsd:element name="Oznaka" ma:index="1" ma:displayName="Oznaka" ma:description="Programsko financiranje" ma:format="Dropdown" ma:internalName="Oznaka" ma:readOnly="false">
      <xsd:simpleType>
        <xsd:restriction base="dms:Text">
          <xsd:maxLength value="15"/>
        </xsd:restriction>
      </xsd:simpleType>
    </xsd:element>
    <xsd:element name="Status" ma:index="3" ma:displayName="Status" ma:default="Revidirana verzija" ma:description="Status dokumenta." ma:format="Dropdown" ma:internalName="Status" ma:readOnly="false">
      <xsd:simpleType>
        <xsd:restriction base="dms:Choice">
          <xsd:enumeration value="Radna verzija"/>
          <xsd:enumeration value="Važeća dokumentacija"/>
          <xsd:enumeration value="Arhiva"/>
          <xsd:enumeration value="Arhiva (prva verzija)"/>
          <xsd:enumeration value="Revidirana verzija"/>
        </xsd:restriction>
      </xsd:simpleType>
    </xsd:element>
    <xsd:element name="Po_x010d_etak_x0020_primjene" ma:index="4" nillable="true" ma:displayName="Početak primjene" ma:format="DateOnly" ma:internalName="Po_x010d_etak_x0020_primjene" ma:readOnly="false">
      <xsd:simpleType>
        <xsd:restriction base="dms:DateTime"/>
      </xsd:simpleType>
    </xsd:element>
    <xsd:element name="Vrsta" ma:index="5" nillable="true" ma:displayName="Vrsta" ma:description="Vrsta dokumenta." ma:format="Dropdown" ma:internalName="Vrsta">
      <xsd:simpleType>
        <xsd:restriction base="dms:Choice">
          <xsd:enumeration value="Ciljevi"/>
          <xsd:enumeration value="Dokumentacija vanjskog izvora"/>
          <xsd:enumeration value="ION"/>
          <xsd:enumeration value="Izvješće"/>
          <xsd:enumeration value="Izvješće o provedbi programskog ugovora"/>
          <xsd:enumeration value="Izvješće o provedbi strategije"/>
          <xsd:enumeration value="Izvješće o realizaciji Akcijskog plana"/>
          <xsd:enumeration value="Izvješće unutarnje prosudbe (IUP)"/>
          <xsd:enumeration value="Izvješće ureda za kvalitetu (IUK)"/>
          <xsd:enumeration value="Izvješće vanjske prosudbe (IVP)"/>
          <xsd:enumeration value="Kodeks"/>
          <xsd:enumeration value="Kontekst"/>
          <xsd:enumeration value="Obrazac"/>
          <xsd:enumeration value="Plan"/>
          <xsd:enumeration value="Politika"/>
          <xsd:enumeration value="Poslovnik"/>
          <xsd:enumeration value="Postupnik"/>
          <xsd:enumeration value="Pravilnik"/>
          <xsd:enumeration value="Priručnik"/>
          <xsd:enumeration value="Proces"/>
          <xsd:enumeration value="Program"/>
          <xsd:enumeration value="Programsko financiranje"/>
          <xsd:enumeration value="Radna uputa"/>
          <xsd:enumeration value="Samoanaliza"/>
          <xsd:enumeration value="Standard/norma"/>
          <xsd:enumeration value="Standardni operativni postupak"/>
          <xsd:enumeration value="Statut"/>
          <xsd:enumeration value="Strategija"/>
          <xsd:enumeration value="Upravina ocjena"/>
          <xsd:enumeration value="Zapis"/>
          <xsd:enumeration value="Zapisnik"/>
        </xsd:restriction>
      </xsd:simpleType>
    </xsd:element>
    <xsd:element name="Proces" ma:index="6" nillable="true" ma:displayName="Proces" ma:format="Dropdown" ma:internalName="Proces" ma:readOnly="false">
      <xsd:simpleType>
        <xsd:restriction base="dms:Choice">
          <xsd:enumeration value="Upravljačka prava, obveze i odgovornosti"/>
          <xsd:enumeration value="Upravljanje kvalitetom"/>
          <xsd:enumeration value="Upravljanje resursima"/>
          <xsd:enumeration value="Nastava"/>
          <xsd:enumeration value="Znanstvena i stručna djelatnost"/>
          <xsd:enumeration value="Pravna podrška"/>
          <xsd:enumeration value="Računovodstvo i financije"/>
          <xsd:enumeration value="Informatička podrška"/>
          <xsd:enumeration value="Nabava"/>
          <xsd:enumeration value="Administrativno-stručna podrška"/>
          <xsd:enumeration value="Marketing"/>
        </xsd:restriction>
      </xsd:simpleType>
    </xsd:element>
    <xsd:element name="Rok_x010d_uvanjadokumenata" ma:index="7" nillable="true" ma:displayName="Rok čuvanja dokumenata" ma:description="Prema Posebnom popisu arhivskog i registraturnog gradiva s rokovima čuvanja" ma:format="Dropdown" ma:hidden="true" ma:internalName="Rok_x010d_uvanjadokumenata" ma:readOnly="false">
      <xsd:simpleType>
        <xsd:restriction base="dms:Choice">
          <xsd:enumeration value="Tumač korištenih oznaka"/>
          <xsd:enumeration value="N = Rok čuvanja računa se od isteka godine u kojoj je dokumentacija nastala."/>
          <xsd:enumeration value="Z = Rok čuvanja računa se od isteka godine u kojoj je spis zaključen, odnosno u kojoj je dokument (ugovor, odluka, pravilnik i sl.) prestao važiti ili je zamijenjen drugim odgovarajućim dokumentom."/>
          <xsd:enumeration value="DI = Djelomično odabrati i izlučiti. Po isteku roka čuvanja odabire se dio dokumentacije za  čuvanje, prema uputama HDA. U pravilu se radi o slučajevima gdje se među istovrsnim predmetima i dokumentima mogu naći i oni koji se odnose na značajnije događaje, odluke, stvari ili osobe te ih se zbog toga odabire za  čuvanje."/>
          <xsd:enumeration value="I = Izlučiti. Po isteku roka dokumentacija se može izlučiti u cjelini, uz pribavljeno odobrenje HDA."/>
          <xsd:enumeration value="T =  Trajno čuvati. Dokumentacija se u cjelini odabire za  čuvanje."/>
        </xsd:restriction>
      </xsd:simpleType>
    </xsd:element>
    <xsd:element name="Kategorija" ma:index="8" nillable="true" ma:displayName="Kategorija" ma:description="Vrsta vrednovanja.&#10;&#10;&#10;&#10;" ma:format="Dropdown" ma:internalName="Kategorija">
      <xsd:simpleType>
        <xsd:restriction base="dms:Choice">
          <xsd:enumeration value="Akreditacija AZVO"/>
          <xsd:enumeration value="ISO 9001:2008"/>
          <xsd:enumeration value="ISO 9001:2015"/>
          <xsd:enumeration value="Programski ugovor 2023."/>
          <xsd:enumeration value="Reakreditacija 2012."/>
          <xsd:enumeration value="Reakreditacija 2020."/>
          <xsd:enumeration value="Reakreditacija 2025."/>
          <xsd:enumeration value="Unutarnja prosudba"/>
        </xsd:restriction>
      </xsd:simpleType>
    </xsd:element>
    <xsd:element name="Rok_x010d_uvanja" ma:index="9" nillable="true" ma:displayName="Rok čuvanja" ma:format="Dropdown" ma:hidden="true" ma:internalName="Rok_x010d_uvanja" ma:readOnly="false">
      <xsd:simpleType>
        <xsd:restriction base="dms:Choice">
          <xsd:enumeration value="Tumač oznaka"/>
          <xsd:enumeration value="N = Rok čuvanja računa se od isteka godine u kojoj je dokumentacija nastala."/>
          <xsd:enumeration value="Z = Rok čuvanja računa se od isteka godine u kojoj je spis zaključen, odnosno u kojoj je dokument (ugovor, odluka, pravilnik i sl.) prestao važiti ili je zamijenjen drugim odgovarajućim dokumentom."/>
          <xsd:enumeration value="DI = Djelomično odabrati i izlučiti. Po isteku roka čuvanja odabire se dio dokumentacije za  čuvanje, prema uputama HDA."/>
          <xsd:enumeration value="I = Izlučiti. Po isteku roka dokumentacija se može izlučiti u cjelini, uz pribavljeno odobrenje HDA."/>
          <xsd:enumeration value="T =  Trajno čuvati. Dokumentacija se u cjelini odabire za  čuvanje."/>
          <xsd:enumeration value="N+5"/>
          <xsd:enumeration value="N+10"/>
          <xsd:enumeration value="Z+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6ef67-a51e-42fb-bc0b-7d12875cf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A0AAA-7207-4921-B30C-F79CBF54CCCF}">
  <ds:schemaRefs>
    <ds:schemaRef ds:uri="http://schemas.microsoft.com/office/2006/metadata/properties"/>
    <ds:schemaRef ds:uri="http://schemas.microsoft.com/office/infopath/2007/PartnerControls"/>
    <ds:schemaRef ds:uri="8459d1b2-b3ea-4b1d-b039-051f2abdff39"/>
    <ds:schemaRef ds:uri="890cb71c-83ca-4999-a6a5-ba3c1fccdf26"/>
  </ds:schemaRefs>
</ds:datastoreItem>
</file>

<file path=customXml/itemProps2.xml><?xml version="1.0" encoding="utf-8"?>
<ds:datastoreItem xmlns:ds="http://schemas.openxmlformats.org/officeDocument/2006/customXml" ds:itemID="{15748CC1-8BF5-4727-9FEC-BCBA943FC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C4ACE-C22A-4BA3-98C7-6B90BE667E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1386</Words>
  <Characters>7902</Characters>
  <Application>Microsoft Office Word</Application>
  <DocSecurity>0</DocSecurity>
  <Lines>65</Lines>
  <Paragraphs>18</Paragraphs>
  <ScaleCrop>false</ScaleCrop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unutarnjoj prosudbi_revidiran (N,O)</dc:title>
  <dc:subject/>
  <dc:creator>Ljilja Ivančević (lpazman)</dc:creator>
  <cp:keywords/>
  <dc:description/>
  <cp:lastModifiedBy>Ljilja Ivančević (lpazman)</cp:lastModifiedBy>
  <cp:revision>6</cp:revision>
  <cp:lastPrinted>2024-03-15T11:04:00Z</cp:lastPrinted>
  <dcterms:created xsi:type="dcterms:W3CDTF">2024-03-15T10:28:00Z</dcterms:created>
  <dcterms:modified xsi:type="dcterms:W3CDTF">2024-03-15T11:06:00Z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0x010100CF150BE6A2332E49B63857CE3B3B0783</vt:lpwstr>
  </property>
  <property fmtid="{D5CDD505-2E9C-101B-9397-08002B2CF9AE}" pid="3" name="MediaServiceImageTags">
    <vt:lpwstr/>
  </property>
</Properties>
</file>